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EFE95" w14:textId="77777777" w:rsidR="00DC4788" w:rsidRPr="008B1DBA" w:rsidRDefault="00DC4788" w:rsidP="00DC4788">
      <w:pPr>
        <w:shd w:val="clear" w:color="auto" w:fill="FFFFFF"/>
        <w:spacing w:after="168" w:line="432" w:lineRule="atLeast"/>
        <w:jc w:val="center"/>
        <w:outlineLvl w:val="1"/>
        <w:rPr>
          <w:rFonts w:eastAsia="Times New Roman" w:cstheme="minorHAnsi"/>
          <w:b/>
          <w:sz w:val="36"/>
          <w:szCs w:val="36"/>
          <w:lang w:eastAsia="en-GB"/>
        </w:rPr>
      </w:pPr>
      <w:r w:rsidRPr="008B1DBA">
        <w:rPr>
          <w:rFonts w:eastAsia="Times New Roman" w:cstheme="minorHAnsi"/>
          <w:b/>
          <w:sz w:val="36"/>
          <w:szCs w:val="36"/>
          <w:lang w:eastAsia="en-GB"/>
        </w:rPr>
        <w:t>Treating customers fairly policy</w:t>
      </w:r>
    </w:p>
    <w:p w14:paraId="5D1964D5" w14:textId="77777777" w:rsidR="00DC4788" w:rsidRPr="008B1DBA" w:rsidRDefault="00DC4788" w:rsidP="00DC4788">
      <w:pPr>
        <w:shd w:val="clear" w:color="auto" w:fill="FFFFFF"/>
        <w:spacing w:before="480" w:after="240" w:line="432" w:lineRule="atLeast"/>
        <w:outlineLvl w:val="2"/>
        <w:rPr>
          <w:rFonts w:eastAsia="Times New Roman" w:cstheme="minorHAnsi"/>
          <w:b/>
          <w:sz w:val="28"/>
          <w:szCs w:val="28"/>
          <w:lang w:eastAsia="en-GB"/>
        </w:rPr>
      </w:pPr>
      <w:r w:rsidRPr="008B1DBA">
        <w:rPr>
          <w:rFonts w:eastAsia="Times New Roman" w:cstheme="minorHAnsi"/>
          <w:b/>
          <w:sz w:val="28"/>
          <w:szCs w:val="28"/>
          <w:lang w:eastAsia="en-GB"/>
        </w:rPr>
        <w:t>Introduction</w:t>
      </w:r>
    </w:p>
    <w:p w14:paraId="323E1CE4" w14:textId="3DE3D070" w:rsidR="00DC4788" w:rsidRPr="008B1DBA" w:rsidRDefault="00DC4788" w:rsidP="00DC4788">
      <w:pPr>
        <w:shd w:val="clear" w:color="auto" w:fill="FFFFFF"/>
        <w:spacing w:after="120" w:line="432" w:lineRule="atLeast"/>
        <w:jc w:val="both"/>
        <w:rPr>
          <w:rFonts w:eastAsia="Times New Roman" w:cstheme="minorHAnsi"/>
          <w:lang w:eastAsia="en-GB"/>
        </w:rPr>
      </w:pPr>
      <w:r w:rsidRPr="008B1DBA">
        <w:rPr>
          <w:rFonts w:eastAsia="Times New Roman" w:cstheme="minorHAnsi"/>
          <w:lang w:eastAsia="en-GB"/>
        </w:rPr>
        <w:t xml:space="preserve">We are fully committed to </w:t>
      </w:r>
      <w:proofErr w:type="gramStart"/>
      <w:r w:rsidRPr="008B1DBA">
        <w:rPr>
          <w:rFonts w:eastAsia="Times New Roman" w:cstheme="minorHAnsi"/>
          <w:lang w:eastAsia="en-GB"/>
        </w:rPr>
        <w:t>TCF</w:t>
      </w:r>
      <w:proofErr w:type="gramEnd"/>
      <w:r w:rsidRPr="008B1DBA">
        <w:rPr>
          <w:rFonts w:eastAsia="Times New Roman" w:cstheme="minorHAnsi"/>
          <w:lang w:eastAsia="en-GB"/>
        </w:rPr>
        <w:t xml:space="preserve"> and this Policy has been designed to demonstrate the application of TCF during our day to day activities.</w:t>
      </w:r>
    </w:p>
    <w:p w14:paraId="13E724AE" w14:textId="634A2E9D" w:rsidR="00DC4788" w:rsidRPr="008B1DBA" w:rsidRDefault="00842358" w:rsidP="00DC4788">
      <w:pPr>
        <w:shd w:val="clear" w:color="auto" w:fill="FFFFFF"/>
        <w:spacing w:after="120" w:line="432" w:lineRule="atLeast"/>
        <w:jc w:val="both"/>
        <w:rPr>
          <w:rFonts w:eastAsia="Times New Roman" w:cstheme="minorHAnsi"/>
          <w:lang w:eastAsia="en-GB"/>
        </w:rPr>
      </w:pPr>
      <w:r>
        <w:rPr>
          <w:rFonts w:eastAsia="Times New Roman" w:cstheme="minorHAnsi"/>
          <w:lang w:eastAsia="en-GB"/>
        </w:rPr>
        <w:t>Our</w:t>
      </w:r>
      <w:r w:rsidR="00DC4788" w:rsidRPr="008B1DBA">
        <w:rPr>
          <w:rFonts w:eastAsia="Times New Roman" w:cstheme="minorHAnsi"/>
          <w:lang w:eastAsia="en-GB"/>
        </w:rPr>
        <w:t xml:space="preserve"> six core consumer outcomes are embedded in our firm.  These are:</w:t>
      </w:r>
    </w:p>
    <w:p w14:paraId="2576F67D" w14:textId="77777777" w:rsidR="00DC4788" w:rsidRPr="008B1DBA" w:rsidRDefault="00DC4788" w:rsidP="00DC4788">
      <w:pPr>
        <w:numPr>
          <w:ilvl w:val="0"/>
          <w:numId w:val="30"/>
        </w:numPr>
        <w:shd w:val="clear" w:color="auto" w:fill="FFFFFF"/>
        <w:spacing w:after="24" w:line="432" w:lineRule="atLeast"/>
        <w:jc w:val="both"/>
        <w:rPr>
          <w:rFonts w:eastAsia="Times New Roman" w:cstheme="minorHAnsi"/>
          <w:lang w:eastAsia="en-GB"/>
        </w:rPr>
      </w:pPr>
      <w:r w:rsidRPr="008B1DBA">
        <w:rPr>
          <w:rFonts w:eastAsia="Times New Roman" w:cstheme="minorHAnsi"/>
          <w:lang w:eastAsia="en-GB"/>
        </w:rPr>
        <w:t>Consumers can be confident they are dealing with firms where TCF is central to the corporate culture.</w:t>
      </w:r>
    </w:p>
    <w:p w14:paraId="5FDAD3A1" w14:textId="77777777" w:rsidR="00DC4788" w:rsidRPr="008B1DBA" w:rsidRDefault="00DC4788" w:rsidP="00DC4788">
      <w:pPr>
        <w:numPr>
          <w:ilvl w:val="0"/>
          <w:numId w:val="30"/>
        </w:numPr>
        <w:shd w:val="clear" w:color="auto" w:fill="FFFFFF"/>
        <w:spacing w:after="24" w:line="432" w:lineRule="atLeast"/>
        <w:jc w:val="both"/>
        <w:rPr>
          <w:rFonts w:eastAsia="Times New Roman" w:cstheme="minorHAnsi"/>
          <w:lang w:eastAsia="en-GB"/>
        </w:rPr>
      </w:pPr>
      <w:r w:rsidRPr="008B1DBA">
        <w:rPr>
          <w:rFonts w:eastAsia="Times New Roman" w:cstheme="minorHAnsi"/>
          <w:lang w:eastAsia="en-GB"/>
        </w:rPr>
        <w:t>Products and services marketed and sold in the retail market are designed to meet the needs of identified consumer groups and targeted accordingly.</w:t>
      </w:r>
    </w:p>
    <w:p w14:paraId="68F5A67F" w14:textId="77777777" w:rsidR="00DC4788" w:rsidRPr="008B1DBA" w:rsidRDefault="00DC4788" w:rsidP="00DC4788">
      <w:pPr>
        <w:numPr>
          <w:ilvl w:val="0"/>
          <w:numId w:val="30"/>
        </w:numPr>
        <w:shd w:val="clear" w:color="auto" w:fill="FFFFFF"/>
        <w:spacing w:after="24" w:line="432" w:lineRule="atLeast"/>
        <w:jc w:val="both"/>
        <w:rPr>
          <w:rFonts w:eastAsia="Times New Roman" w:cstheme="minorHAnsi"/>
          <w:lang w:eastAsia="en-GB"/>
        </w:rPr>
      </w:pPr>
      <w:r w:rsidRPr="008B1DBA">
        <w:rPr>
          <w:rFonts w:eastAsia="Times New Roman" w:cstheme="minorHAnsi"/>
          <w:lang w:eastAsia="en-GB"/>
        </w:rPr>
        <w:t>Consumers are provided with clear information and are kept appropriately informed before, during and after the point of sale.</w:t>
      </w:r>
    </w:p>
    <w:p w14:paraId="33013C44" w14:textId="77777777" w:rsidR="00DC4788" w:rsidRPr="008B1DBA" w:rsidRDefault="00DC4788" w:rsidP="00DC4788">
      <w:pPr>
        <w:numPr>
          <w:ilvl w:val="0"/>
          <w:numId w:val="30"/>
        </w:numPr>
        <w:shd w:val="clear" w:color="auto" w:fill="FFFFFF"/>
        <w:spacing w:after="24" w:line="432" w:lineRule="atLeast"/>
        <w:jc w:val="both"/>
        <w:rPr>
          <w:rFonts w:eastAsia="Times New Roman" w:cstheme="minorHAnsi"/>
          <w:lang w:eastAsia="en-GB"/>
        </w:rPr>
      </w:pPr>
      <w:r w:rsidRPr="008B1DBA">
        <w:rPr>
          <w:rFonts w:eastAsia="Times New Roman" w:cstheme="minorHAnsi"/>
          <w:lang w:eastAsia="en-GB"/>
        </w:rPr>
        <w:t>Where consumers receive advice, the advice is suitable and takes account of their circumstances.</w:t>
      </w:r>
    </w:p>
    <w:p w14:paraId="5171C648" w14:textId="77777777" w:rsidR="00DC4788" w:rsidRPr="008B1DBA" w:rsidRDefault="00DC4788" w:rsidP="00DC4788">
      <w:pPr>
        <w:numPr>
          <w:ilvl w:val="0"/>
          <w:numId w:val="30"/>
        </w:numPr>
        <w:shd w:val="clear" w:color="auto" w:fill="FFFFFF"/>
        <w:spacing w:after="24" w:line="432" w:lineRule="atLeast"/>
        <w:jc w:val="both"/>
        <w:rPr>
          <w:rFonts w:eastAsia="Times New Roman" w:cstheme="minorHAnsi"/>
          <w:lang w:eastAsia="en-GB"/>
        </w:rPr>
      </w:pPr>
      <w:r w:rsidRPr="008B1DBA">
        <w:rPr>
          <w:rFonts w:eastAsia="Times New Roman" w:cstheme="minorHAnsi"/>
          <w:lang w:eastAsia="en-GB"/>
        </w:rPr>
        <w:t>Consumers are provided with products that perform as firms have led them to expect and the associated service is both of an acceptable standard and as they have been led to expect.</w:t>
      </w:r>
    </w:p>
    <w:p w14:paraId="14D0A03C" w14:textId="77777777" w:rsidR="00DC4788" w:rsidRPr="008B1DBA" w:rsidRDefault="00DC4788" w:rsidP="00DC4788">
      <w:pPr>
        <w:numPr>
          <w:ilvl w:val="0"/>
          <w:numId w:val="30"/>
        </w:numPr>
        <w:shd w:val="clear" w:color="auto" w:fill="FFFFFF"/>
        <w:spacing w:after="24" w:line="432" w:lineRule="atLeast"/>
        <w:jc w:val="both"/>
        <w:rPr>
          <w:rFonts w:eastAsia="Times New Roman" w:cstheme="minorHAnsi"/>
          <w:lang w:eastAsia="en-GB"/>
        </w:rPr>
      </w:pPr>
      <w:r w:rsidRPr="008B1DBA">
        <w:rPr>
          <w:rFonts w:eastAsia="Times New Roman" w:cstheme="minorHAnsi"/>
          <w:lang w:eastAsia="en-GB"/>
        </w:rPr>
        <w:t>Consumers do not face unreasonable post-sale barriers imposed by firms to change product, switch provider, submit a claim or make a complaint.</w:t>
      </w:r>
    </w:p>
    <w:p w14:paraId="229FDCBD" w14:textId="77777777" w:rsidR="00DC4788" w:rsidRPr="008B1DBA" w:rsidRDefault="00DC4788" w:rsidP="00DC4788">
      <w:pPr>
        <w:shd w:val="clear" w:color="auto" w:fill="FFFFFF"/>
        <w:spacing w:after="24" w:line="432" w:lineRule="atLeast"/>
        <w:ind w:left="720"/>
        <w:jc w:val="both"/>
        <w:rPr>
          <w:rFonts w:eastAsia="Times New Roman" w:cstheme="minorHAnsi"/>
          <w:lang w:eastAsia="en-GB"/>
        </w:rPr>
      </w:pPr>
    </w:p>
    <w:p w14:paraId="69E40850" w14:textId="77777777" w:rsidR="00DC4788" w:rsidRPr="008B1DBA" w:rsidRDefault="00DC4788" w:rsidP="00DC4788">
      <w:pPr>
        <w:shd w:val="clear" w:color="auto" w:fill="FFFFFF"/>
        <w:spacing w:after="120" w:line="432" w:lineRule="atLeast"/>
        <w:jc w:val="both"/>
        <w:rPr>
          <w:rFonts w:eastAsia="Times New Roman" w:cstheme="minorHAnsi"/>
          <w:lang w:eastAsia="en-GB"/>
        </w:rPr>
      </w:pPr>
      <w:r w:rsidRPr="008B1DBA">
        <w:rPr>
          <w:rFonts w:eastAsia="Times New Roman" w:cstheme="minorHAnsi"/>
          <w:b/>
          <w:bCs/>
          <w:lang w:eastAsia="en-GB"/>
        </w:rPr>
        <w:t>Our TCF Mission Statement</w:t>
      </w:r>
    </w:p>
    <w:p w14:paraId="6C1FD41B" w14:textId="77777777" w:rsidR="00DC4788" w:rsidRPr="008B1DBA" w:rsidRDefault="00DC4788" w:rsidP="00DC4788">
      <w:pPr>
        <w:shd w:val="clear" w:color="auto" w:fill="FFFFFF"/>
        <w:spacing w:after="120" w:line="432" w:lineRule="atLeast"/>
        <w:jc w:val="both"/>
        <w:rPr>
          <w:rFonts w:eastAsia="Times New Roman" w:cstheme="minorHAnsi"/>
          <w:lang w:eastAsia="en-GB"/>
        </w:rPr>
      </w:pPr>
      <w:r w:rsidRPr="008B1DBA">
        <w:rPr>
          <w:rFonts w:eastAsia="Times New Roman" w:cstheme="minorHAnsi"/>
          <w:lang w:eastAsia="en-GB"/>
        </w:rPr>
        <w:t>We will act with integrity in everything we do and put our customers at the heart of our business.</w:t>
      </w:r>
    </w:p>
    <w:p w14:paraId="1C18F0FE" w14:textId="77777777" w:rsidR="00DC4788" w:rsidRDefault="00DC4788" w:rsidP="00DC4788">
      <w:pPr>
        <w:shd w:val="clear" w:color="auto" w:fill="FFFFFF"/>
        <w:spacing w:after="120" w:line="432" w:lineRule="atLeast"/>
        <w:jc w:val="both"/>
        <w:rPr>
          <w:rFonts w:eastAsia="Times New Roman" w:cstheme="minorHAnsi"/>
          <w:b/>
          <w:bCs/>
          <w:lang w:eastAsia="en-GB"/>
        </w:rPr>
      </w:pPr>
    </w:p>
    <w:p w14:paraId="03E20A62" w14:textId="77777777" w:rsidR="00DC4788" w:rsidRDefault="00DC4788" w:rsidP="00DC4788">
      <w:pPr>
        <w:shd w:val="clear" w:color="auto" w:fill="FFFFFF"/>
        <w:spacing w:after="120" w:line="432" w:lineRule="atLeast"/>
        <w:jc w:val="both"/>
        <w:rPr>
          <w:rFonts w:eastAsia="Times New Roman" w:cstheme="minorHAnsi"/>
          <w:b/>
          <w:bCs/>
          <w:lang w:eastAsia="en-GB"/>
        </w:rPr>
      </w:pPr>
    </w:p>
    <w:p w14:paraId="11B4F75E" w14:textId="77777777" w:rsidR="00DC4788" w:rsidRPr="008B1DBA" w:rsidRDefault="00DC4788" w:rsidP="00DC4788">
      <w:pPr>
        <w:shd w:val="clear" w:color="auto" w:fill="FFFFFF"/>
        <w:spacing w:after="120" w:line="432" w:lineRule="atLeast"/>
        <w:jc w:val="both"/>
        <w:rPr>
          <w:rFonts w:eastAsia="Times New Roman" w:cstheme="minorHAnsi"/>
          <w:lang w:eastAsia="en-GB"/>
        </w:rPr>
      </w:pPr>
      <w:r w:rsidRPr="008B1DBA">
        <w:rPr>
          <w:rFonts w:eastAsia="Times New Roman" w:cstheme="minorHAnsi"/>
          <w:b/>
          <w:bCs/>
          <w:lang w:eastAsia="en-GB"/>
        </w:rPr>
        <w:t>Our TCF Principles</w:t>
      </w:r>
    </w:p>
    <w:p w14:paraId="6682999A" w14:textId="77777777" w:rsidR="00DC4788" w:rsidRPr="008B1DBA" w:rsidRDefault="00DC4788" w:rsidP="00DC4788">
      <w:pPr>
        <w:numPr>
          <w:ilvl w:val="0"/>
          <w:numId w:val="31"/>
        </w:numPr>
        <w:shd w:val="clear" w:color="auto" w:fill="FFFFFF"/>
        <w:spacing w:after="24" w:line="432" w:lineRule="atLeast"/>
        <w:jc w:val="both"/>
        <w:rPr>
          <w:rFonts w:eastAsia="Times New Roman" w:cstheme="minorHAnsi"/>
          <w:lang w:eastAsia="en-GB"/>
        </w:rPr>
      </w:pPr>
      <w:r w:rsidRPr="008B1DBA">
        <w:rPr>
          <w:rFonts w:eastAsia="Times New Roman" w:cstheme="minorHAnsi"/>
          <w:lang w:eastAsia="en-GB"/>
        </w:rPr>
        <w:lastRenderedPageBreak/>
        <w:t>Customers will be provided with clear information and kept appropriately informed before, during and after the point of sale.</w:t>
      </w:r>
    </w:p>
    <w:p w14:paraId="3B4B9B96" w14:textId="77777777" w:rsidR="00DC4788" w:rsidRPr="008B1DBA" w:rsidRDefault="00DC4788" w:rsidP="00DC4788">
      <w:pPr>
        <w:numPr>
          <w:ilvl w:val="0"/>
          <w:numId w:val="31"/>
        </w:numPr>
        <w:shd w:val="clear" w:color="auto" w:fill="FFFFFF"/>
        <w:spacing w:after="24" w:line="432" w:lineRule="atLeast"/>
        <w:jc w:val="both"/>
        <w:rPr>
          <w:rFonts w:eastAsia="Times New Roman" w:cstheme="minorHAnsi"/>
          <w:lang w:eastAsia="en-GB"/>
        </w:rPr>
      </w:pPr>
      <w:r w:rsidRPr="008B1DBA">
        <w:rPr>
          <w:rFonts w:eastAsia="Times New Roman" w:cstheme="minorHAnsi"/>
          <w:lang w:eastAsia="en-GB"/>
        </w:rPr>
        <w:t>If we give advice to our customers, the advice will be suitable and take account of their circumstances.</w:t>
      </w:r>
    </w:p>
    <w:p w14:paraId="5E9C9FE2" w14:textId="77777777" w:rsidR="00DC4788" w:rsidRPr="008B1DBA" w:rsidRDefault="00DC4788" w:rsidP="00DC4788">
      <w:pPr>
        <w:numPr>
          <w:ilvl w:val="0"/>
          <w:numId w:val="31"/>
        </w:numPr>
        <w:shd w:val="clear" w:color="auto" w:fill="FFFFFF"/>
        <w:spacing w:after="24" w:line="432" w:lineRule="atLeast"/>
        <w:jc w:val="both"/>
        <w:rPr>
          <w:rFonts w:eastAsia="Times New Roman" w:cstheme="minorHAnsi"/>
          <w:lang w:eastAsia="en-GB"/>
        </w:rPr>
      </w:pPr>
      <w:r w:rsidRPr="008B1DBA">
        <w:rPr>
          <w:rFonts w:eastAsia="Times New Roman" w:cstheme="minorHAnsi"/>
          <w:lang w:eastAsia="en-GB"/>
        </w:rPr>
        <w:t>Our level of service and product performance will meet the expectations of our customers as far as reasonably possible.</w:t>
      </w:r>
    </w:p>
    <w:p w14:paraId="39AE8B80" w14:textId="77777777" w:rsidR="00DC4788" w:rsidRPr="008B1DBA" w:rsidRDefault="00DC4788" w:rsidP="00DC4788">
      <w:pPr>
        <w:numPr>
          <w:ilvl w:val="0"/>
          <w:numId w:val="31"/>
        </w:numPr>
        <w:shd w:val="clear" w:color="auto" w:fill="FFFFFF"/>
        <w:spacing w:after="24" w:line="432" w:lineRule="atLeast"/>
        <w:jc w:val="both"/>
        <w:rPr>
          <w:rFonts w:eastAsia="Times New Roman" w:cstheme="minorHAnsi"/>
          <w:lang w:eastAsia="en-GB"/>
        </w:rPr>
      </w:pPr>
      <w:r w:rsidRPr="008B1DBA">
        <w:rPr>
          <w:rFonts w:eastAsia="Times New Roman" w:cstheme="minorHAnsi"/>
          <w:lang w:eastAsia="en-GB"/>
        </w:rPr>
        <w:t>We will ensure that there is no barrier for customers to express their requests, concerns or complaints, and will always be responsive to them.</w:t>
      </w:r>
    </w:p>
    <w:p w14:paraId="782A84A3" w14:textId="77777777" w:rsidR="00DC4788" w:rsidRPr="008B1DBA" w:rsidRDefault="00DC4788" w:rsidP="00DC4788">
      <w:pPr>
        <w:numPr>
          <w:ilvl w:val="0"/>
          <w:numId w:val="31"/>
        </w:numPr>
        <w:shd w:val="clear" w:color="auto" w:fill="FFFFFF"/>
        <w:spacing w:after="24" w:line="432" w:lineRule="atLeast"/>
        <w:jc w:val="both"/>
        <w:rPr>
          <w:rFonts w:eastAsia="Times New Roman" w:cstheme="minorHAnsi"/>
          <w:lang w:eastAsia="en-GB"/>
        </w:rPr>
      </w:pPr>
      <w:r w:rsidRPr="008B1DBA">
        <w:rPr>
          <w:rFonts w:eastAsia="Times New Roman" w:cstheme="minorHAnsi"/>
          <w:lang w:eastAsia="en-GB"/>
        </w:rPr>
        <w:t>Products and services will be designed to meet the needs of our customers.</w:t>
      </w:r>
    </w:p>
    <w:p w14:paraId="122F6AF0" w14:textId="77777777" w:rsidR="00DC4788" w:rsidRPr="008B1DBA" w:rsidRDefault="00DC4788" w:rsidP="00DC4788">
      <w:pPr>
        <w:shd w:val="clear" w:color="auto" w:fill="FFFFFF"/>
        <w:spacing w:after="24" w:line="432" w:lineRule="atLeast"/>
        <w:ind w:left="720"/>
        <w:rPr>
          <w:rFonts w:eastAsia="Times New Roman" w:cstheme="minorHAnsi"/>
          <w:lang w:eastAsia="en-GB"/>
        </w:rPr>
      </w:pPr>
    </w:p>
    <w:p w14:paraId="40262745" w14:textId="77777777" w:rsidR="00DC4788" w:rsidRPr="008B1DBA" w:rsidRDefault="00DC4788" w:rsidP="00DC4788">
      <w:pPr>
        <w:shd w:val="clear" w:color="auto" w:fill="FFFFFF"/>
        <w:spacing w:after="120" w:line="432" w:lineRule="atLeast"/>
        <w:rPr>
          <w:rFonts w:eastAsia="Times New Roman" w:cstheme="minorHAnsi"/>
          <w:sz w:val="28"/>
          <w:szCs w:val="28"/>
          <w:lang w:eastAsia="en-GB"/>
        </w:rPr>
      </w:pPr>
      <w:r w:rsidRPr="008B1DBA">
        <w:rPr>
          <w:rFonts w:eastAsia="Times New Roman" w:cstheme="minorHAnsi"/>
          <w:b/>
          <w:bCs/>
          <w:sz w:val="28"/>
          <w:szCs w:val="28"/>
          <w:lang w:eastAsia="en-GB"/>
        </w:rPr>
        <w:t>Assessing and implementing our TCF Principles</w:t>
      </w:r>
    </w:p>
    <w:p w14:paraId="12BD50BF" w14:textId="77777777" w:rsidR="00DC4788" w:rsidRPr="008B1DBA" w:rsidRDefault="00DC4788" w:rsidP="00DC4788">
      <w:pPr>
        <w:shd w:val="clear" w:color="auto" w:fill="FFFFFF"/>
        <w:spacing w:after="120" w:line="432" w:lineRule="atLeast"/>
        <w:rPr>
          <w:rFonts w:eastAsia="Times New Roman" w:cstheme="minorHAnsi"/>
          <w:lang w:eastAsia="en-GB"/>
        </w:rPr>
      </w:pPr>
      <w:r w:rsidRPr="008B1DBA">
        <w:rPr>
          <w:rFonts w:eastAsia="Times New Roman" w:cstheme="minorHAnsi"/>
          <w:b/>
          <w:bCs/>
          <w:lang w:eastAsia="en-GB"/>
        </w:rPr>
        <w:t>Marketing</w:t>
      </w:r>
    </w:p>
    <w:p w14:paraId="03CF583A" w14:textId="77777777" w:rsidR="00DC4788" w:rsidRPr="008B1DBA" w:rsidRDefault="00DC4788" w:rsidP="00DC4788">
      <w:pPr>
        <w:shd w:val="clear" w:color="auto" w:fill="FFFFFF"/>
        <w:spacing w:after="120" w:line="432" w:lineRule="atLeast"/>
        <w:jc w:val="both"/>
        <w:rPr>
          <w:rFonts w:eastAsia="Times New Roman" w:cstheme="minorHAnsi"/>
          <w:lang w:eastAsia="en-GB"/>
        </w:rPr>
      </w:pPr>
      <w:r w:rsidRPr="008B1DBA">
        <w:rPr>
          <w:rFonts w:eastAsia="Times New Roman" w:cstheme="minorHAnsi"/>
          <w:lang w:eastAsia="en-GB"/>
        </w:rPr>
        <w:t>All our financial promotions and marketing materials are reviewed to ensure that they are appropriate for our target audience and are presented in a clear, fair and not misleading manner.</w:t>
      </w:r>
    </w:p>
    <w:p w14:paraId="44785C52" w14:textId="77777777" w:rsidR="00DC4788" w:rsidRPr="008B1DBA" w:rsidRDefault="00DC4788" w:rsidP="00DC4788">
      <w:pPr>
        <w:shd w:val="clear" w:color="auto" w:fill="FFFFFF"/>
        <w:spacing w:after="120" w:line="432" w:lineRule="atLeast"/>
        <w:jc w:val="both"/>
        <w:rPr>
          <w:rFonts w:eastAsia="Times New Roman" w:cstheme="minorHAnsi"/>
          <w:lang w:eastAsia="en-GB"/>
        </w:rPr>
      </w:pPr>
      <w:r w:rsidRPr="008B1DBA">
        <w:rPr>
          <w:rFonts w:eastAsia="Times New Roman" w:cstheme="minorHAnsi"/>
          <w:b/>
          <w:bCs/>
          <w:lang w:eastAsia="en-GB"/>
        </w:rPr>
        <w:t>Sales, Advice, Management</w:t>
      </w:r>
    </w:p>
    <w:p w14:paraId="587A98EB" w14:textId="77777777" w:rsidR="00DC4788" w:rsidRPr="008B1DBA" w:rsidRDefault="00DC4788" w:rsidP="00DC4788">
      <w:pPr>
        <w:shd w:val="clear" w:color="auto" w:fill="FFFFFF"/>
        <w:spacing w:after="120" w:line="432" w:lineRule="atLeast"/>
        <w:jc w:val="both"/>
        <w:rPr>
          <w:rFonts w:eastAsia="Times New Roman" w:cstheme="minorHAnsi"/>
          <w:lang w:eastAsia="en-GB"/>
        </w:rPr>
      </w:pPr>
      <w:r w:rsidRPr="008B1DBA">
        <w:rPr>
          <w:rFonts w:eastAsia="Times New Roman" w:cstheme="minorHAnsi"/>
          <w:lang w:eastAsia="en-GB"/>
        </w:rPr>
        <w:t>When providing advice, our advisers obtain a detailed understanding of the customer’s needs so that our recommendations are suitable. We ensure that our customers understand the risks involved with any service or product offered and are aware of all fees and charges.</w:t>
      </w:r>
    </w:p>
    <w:p w14:paraId="7249551F" w14:textId="77777777" w:rsidR="00DC4788" w:rsidRPr="008B1DBA" w:rsidRDefault="00DC4788" w:rsidP="00DC4788">
      <w:pPr>
        <w:shd w:val="clear" w:color="auto" w:fill="FFFFFF"/>
        <w:spacing w:after="120" w:line="432" w:lineRule="atLeast"/>
        <w:jc w:val="both"/>
        <w:rPr>
          <w:rFonts w:eastAsia="Times New Roman" w:cstheme="minorHAnsi"/>
          <w:lang w:eastAsia="en-GB"/>
        </w:rPr>
      </w:pPr>
      <w:r w:rsidRPr="008B1DBA">
        <w:rPr>
          <w:rFonts w:eastAsia="Times New Roman" w:cstheme="minorHAnsi"/>
          <w:b/>
          <w:bCs/>
          <w:lang w:eastAsia="en-GB"/>
        </w:rPr>
        <w:t>Post-Sale Information and Support</w:t>
      </w:r>
    </w:p>
    <w:p w14:paraId="025379BB" w14:textId="77777777" w:rsidR="00DC4788" w:rsidRPr="008B1DBA" w:rsidRDefault="00DC4788" w:rsidP="00DC4788">
      <w:pPr>
        <w:shd w:val="clear" w:color="auto" w:fill="FFFFFF"/>
        <w:spacing w:after="120" w:line="432" w:lineRule="atLeast"/>
        <w:jc w:val="both"/>
        <w:rPr>
          <w:rFonts w:eastAsia="Times New Roman" w:cstheme="minorHAnsi"/>
          <w:lang w:eastAsia="en-GB"/>
        </w:rPr>
      </w:pPr>
      <w:r w:rsidRPr="008B1DBA">
        <w:rPr>
          <w:rFonts w:eastAsia="Times New Roman" w:cstheme="minorHAnsi"/>
          <w:lang w:eastAsia="en-GB"/>
        </w:rPr>
        <w:t xml:space="preserve">We strive to keep our customers informed pre, during and post contract. Appropriate records are held and can be provided as required on an ongoing basis. We have appropriate capacity for storing and processing information to ensure continuous support. We have no post-sale barriers in place which restrict customers’ access. </w:t>
      </w:r>
    </w:p>
    <w:p w14:paraId="5771AAF6" w14:textId="77777777" w:rsidR="00DC4788" w:rsidRDefault="00DC4788" w:rsidP="00DC4788">
      <w:pPr>
        <w:shd w:val="clear" w:color="auto" w:fill="FFFFFF"/>
        <w:spacing w:after="120" w:line="432" w:lineRule="atLeast"/>
        <w:jc w:val="both"/>
        <w:rPr>
          <w:rFonts w:eastAsia="Times New Roman" w:cstheme="minorHAnsi"/>
          <w:b/>
          <w:bCs/>
          <w:lang w:eastAsia="en-GB"/>
        </w:rPr>
      </w:pPr>
    </w:p>
    <w:p w14:paraId="3EB889C5" w14:textId="77777777" w:rsidR="00DC4788" w:rsidRPr="008B1DBA" w:rsidRDefault="00DC4788" w:rsidP="00DC4788">
      <w:pPr>
        <w:shd w:val="clear" w:color="auto" w:fill="FFFFFF"/>
        <w:spacing w:after="120" w:line="432" w:lineRule="atLeast"/>
        <w:jc w:val="both"/>
        <w:rPr>
          <w:rFonts w:eastAsia="Times New Roman" w:cstheme="minorHAnsi"/>
          <w:lang w:eastAsia="en-GB"/>
        </w:rPr>
      </w:pPr>
      <w:r w:rsidRPr="008B1DBA">
        <w:rPr>
          <w:rFonts w:eastAsia="Times New Roman" w:cstheme="minorHAnsi"/>
          <w:b/>
          <w:bCs/>
          <w:lang w:eastAsia="en-GB"/>
        </w:rPr>
        <w:t>Policies and Procedures</w:t>
      </w:r>
    </w:p>
    <w:p w14:paraId="488A1259" w14:textId="77777777" w:rsidR="00DC4788" w:rsidRPr="008B1DBA" w:rsidRDefault="00DC4788" w:rsidP="00DC4788">
      <w:pPr>
        <w:shd w:val="clear" w:color="auto" w:fill="FFFFFF"/>
        <w:spacing w:after="120" w:line="432" w:lineRule="atLeast"/>
        <w:jc w:val="both"/>
        <w:rPr>
          <w:rFonts w:eastAsia="Times New Roman" w:cstheme="minorHAnsi"/>
          <w:lang w:eastAsia="en-GB"/>
        </w:rPr>
      </w:pPr>
      <w:r w:rsidRPr="008B1DBA">
        <w:rPr>
          <w:rFonts w:eastAsia="Times New Roman" w:cstheme="minorHAnsi"/>
          <w:lang w:eastAsia="en-GB"/>
        </w:rPr>
        <w:lastRenderedPageBreak/>
        <w:t>We have policies and procedures that are relevant to the fair treatment of our customers and which also meet FCA requirements. These are (this not an exhaustive list):</w:t>
      </w:r>
    </w:p>
    <w:p w14:paraId="73EEBA9E" w14:textId="77777777" w:rsidR="00DC4788" w:rsidRPr="008B1DBA" w:rsidRDefault="00DC4788" w:rsidP="00DC4788">
      <w:pPr>
        <w:numPr>
          <w:ilvl w:val="0"/>
          <w:numId w:val="32"/>
        </w:numPr>
        <w:shd w:val="clear" w:color="auto" w:fill="FFFFFF"/>
        <w:spacing w:after="24" w:line="432" w:lineRule="atLeast"/>
        <w:jc w:val="both"/>
        <w:rPr>
          <w:rFonts w:eastAsia="Times New Roman" w:cstheme="minorHAnsi"/>
          <w:lang w:eastAsia="en-GB"/>
        </w:rPr>
      </w:pPr>
      <w:r w:rsidRPr="008B1DBA">
        <w:rPr>
          <w:rFonts w:eastAsia="Times New Roman" w:cstheme="minorHAnsi"/>
          <w:lang w:eastAsia="en-GB"/>
        </w:rPr>
        <w:t>Conflicts of Interest Policy</w:t>
      </w:r>
    </w:p>
    <w:p w14:paraId="287A3AE2" w14:textId="77777777" w:rsidR="00DC4788" w:rsidRPr="008B1DBA" w:rsidRDefault="00DC4788" w:rsidP="00DC4788">
      <w:pPr>
        <w:numPr>
          <w:ilvl w:val="0"/>
          <w:numId w:val="32"/>
        </w:numPr>
        <w:shd w:val="clear" w:color="auto" w:fill="FFFFFF"/>
        <w:spacing w:after="24" w:line="432" w:lineRule="atLeast"/>
        <w:jc w:val="both"/>
        <w:rPr>
          <w:rFonts w:eastAsia="Times New Roman" w:cstheme="minorHAnsi"/>
          <w:lang w:eastAsia="en-GB"/>
        </w:rPr>
      </w:pPr>
      <w:r w:rsidRPr="008B1DBA">
        <w:rPr>
          <w:rFonts w:eastAsia="Times New Roman" w:cstheme="minorHAnsi"/>
          <w:lang w:eastAsia="en-GB"/>
        </w:rPr>
        <w:t>Data Protection Policy</w:t>
      </w:r>
    </w:p>
    <w:p w14:paraId="7431B0C3" w14:textId="77777777" w:rsidR="00DC4788" w:rsidRPr="008B1DBA" w:rsidRDefault="00DC4788" w:rsidP="00DC4788">
      <w:pPr>
        <w:numPr>
          <w:ilvl w:val="0"/>
          <w:numId w:val="32"/>
        </w:numPr>
        <w:shd w:val="clear" w:color="auto" w:fill="FFFFFF"/>
        <w:spacing w:after="24" w:line="432" w:lineRule="atLeast"/>
        <w:jc w:val="both"/>
        <w:rPr>
          <w:rFonts w:eastAsia="Times New Roman" w:cstheme="minorHAnsi"/>
          <w:lang w:eastAsia="en-GB"/>
        </w:rPr>
      </w:pPr>
      <w:r w:rsidRPr="008B1DBA">
        <w:rPr>
          <w:rFonts w:eastAsia="Times New Roman" w:cstheme="minorHAnsi"/>
          <w:lang w:eastAsia="en-GB"/>
        </w:rPr>
        <w:t>Vulnerable Customers Policy</w:t>
      </w:r>
    </w:p>
    <w:p w14:paraId="31571FAD" w14:textId="77777777" w:rsidR="00DC4788" w:rsidRPr="008B1DBA" w:rsidRDefault="00DC4788" w:rsidP="00DC4788">
      <w:pPr>
        <w:numPr>
          <w:ilvl w:val="0"/>
          <w:numId w:val="32"/>
        </w:numPr>
        <w:shd w:val="clear" w:color="auto" w:fill="FFFFFF"/>
        <w:spacing w:after="24" w:line="432" w:lineRule="atLeast"/>
        <w:jc w:val="both"/>
        <w:rPr>
          <w:rFonts w:eastAsia="Times New Roman" w:cstheme="minorHAnsi"/>
          <w:lang w:eastAsia="en-GB"/>
        </w:rPr>
      </w:pPr>
      <w:r w:rsidRPr="008B1DBA">
        <w:rPr>
          <w:rFonts w:eastAsia="Times New Roman" w:cstheme="minorHAnsi"/>
          <w:lang w:eastAsia="en-GB"/>
        </w:rPr>
        <w:t>Training and Competence Policy</w:t>
      </w:r>
    </w:p>
    <w:p w14:paraId="76670CFB" w14:textId="77777777" w:rsidR="00DC4788" w:rsidRPr="008B1DBA" w:rsidRDefault="00DC4788" w:rsidP="00DC4788">
      <w:pPr>
        <w:numPr>
          <w:ilvl w:val="0"/>
          <w:numId w:val="32"/>
        </w:numPr>
        <w:shd w:val="clear" w:color="auto" w:fill="FFFFFF"/>
        <w:spacing w:after="24" w:line="432" w:lineRule="atLeast"/>
        <w:jc w:val="both"/>
        <w:rPr>
          <w:rFonts w:eastAsia="Times New Roman" w:cstheme="minorHAnsi"/>
          <w:lang w:eastAsia="en-GB"/>
        </w:rPr>
      </w:pPr>
      <w:r w:rsidRPr="008B1DBA">
        <w:rPr>
          <w:rFonts w:eastAsia="Times New Roman" w:cstheme="minorHAnsi"/>
          <w:lang w:eastAsia="en-GB"/>
        </w:rPr>
        <w:t>Financial Crime including Bribery &amp; Corruption &amp; Money Laundering</w:t>
      </w:r>
    </w:p>
    <w:p w14:paraId="6A69F0EB" w14:textId="77777777" w:rsidR="00DC4788" w:rsidRPr="008B1DBA" w:rsidRDefault="00DC4788" w:rsidP="00DC4788">
      <w:pPr>
        <w:numPr>
          <w:ilvl w:val="0"/>
          <w:numId w:val="32"/>
        </w:numPr>
        <w:shd w:val="clear" w:color="auto" w:fill="FFFFFF"/>
        <w:spacing w:after="24" w:line="432" w:lineRule="atLeast"/>
        <w:rPr>
          <w:rFonts w:eastAsia="Times New Roman" w:cstheme="minorHAnsi"/>
          <w:lang w:eastAsia="en-GB"/>
        </w:rPr>
      </w:pPr>
      <w:r w:rsidRPr="008B1DBA">
        <w:rPr>
          <w:rFonts w:eastAsia="Times New Roman" w:cstheme="minorHAnsi"/>
          <w:lang w:eastAsia="en-GB"/>
        </w:rPr>
        <w:t>Complaint Handling Procedures</w:t>
      </w:r>
    </w:p>
    <w:p w14:paraId="7D4C4B66" w14:textId="77777777" w:rsidR="00DC4788" w:rsidRPr="008B1DBA" w:rsidRDefault="00DC4788" w:rsidP="00DC4788">
      <w:pPr>
        <w:numPr>
          <w:ilvl w:val="0"/>
          <w:numId w:val="32"/>
        </w:numPr>
        <w:shd w:val="clear" w:color="auto" w:fill="FFFFFF"/>
        <w:spacing w:after="24" w:line="432" w:lineRule="atLeast"/>
        <w:rPr>
          <w:rFonts w:eastAsia="Times New Roman" w:cstheme="minorHAnsi"/>
          <w:lang w:eastAsia="en-GB"/>
        </w:rPr>
      </w:pPr>
      <w:r w:rsidRPr="008B1DBA">
        <w:rPr>
          <w:rFonts w:eastAsia="Times New Roman" w:cstheme="minorHAnsi"/>
          <w:lang w:eastAsia="en-GB"/>
        </w:rPr>
        <w:t>Financial Promotions Procedures</w:t>
      </w:r>
    </w:p>
    <w:p w14:paraId="72F574B3" w14:textId="77777777" w:rsidR="00DC4788" w:rsidRPr="008B1DBA" w:rsidRDefault="00DC4788" w:rsidP="00DC4788">
      <w:pPr>
        <w:shd w:val="clear" w:color="auto" w:fill="FFFFFF"/>
        <w:spacing w:after="120" w:line="432" w:lineRule="atLeast"/>
        <w:rPr>
          <w:rFonts w:eastAsia="Times New Roman" w:cstheme="minorHAnsi"/>
          <w:lang w:eastAsia="en-GB"/>
        </w:rPr>
      </w:pPr>
      <w:r w:rsidRPr="008B1DBA">
        <w:rPr>
          <w:rFonts w:eastAsia="Times New Roman" w:cstheme="minorHAnsi"/>
          <w:b/>
          <w:bCs/>
          <w:lang w:eastAsia="en-GB"/>
        </w:rPr>
        <w:t>Management Information (MI)</w:t>
      </w:r>
    </w:p>
    <w:p w14:paraId="4D8ADF8D" w14:textId="77777777" w:rsidR="00DC4788" w:rsidRPr="008B1DBA" w:rsidRDefault="00DC4788" w:rsidP="00DC4788">
      <w:pPr>
        <w:shd w:val="clear" w:color="auto" w:fill="FFFFFF"/>
        <w:spacing w:after="120" w:line="432" w:lineRule="atLeast"/>
        <w:jc w:val="both"/>
        <w:rPr>
          <w:rFonts w:eastAsia="Times New Roman" w:cstheme="minorHAnsi"/>
          <w:lang w:eastAsia="en-GB"/>
        </w:rPr>
      </w:pPr>
      <w:r w:rsidRPr="008B1DBA">
        <w:rPr>
          <w:rFonts w:eastAsia="Times New Roman" w:cstheme="minorHAnsi"/>
          <w:lang w:eastAsia="en-GB"/>
        </w:rPr>
        <w:t>We produce MI to assess our performance against the TCF principles. We ensure that MI is accurate, timely, consistent and relevant to assist the business to make informed decisions in the best interests of our customers. We produce MI reports which are reviewed regularly by senior managers, directors and board members in various meetings.</w:t>
      </w:r>
    </w:p>
    <w:p w14:paraId="63AF0D0C" w14:textId="77777777" w:rsidR="00DC4788" w:rsidRPr="008B1DBA" w:rsidRDefault="00DC4788" w:rsidP="00DC4788">
      <w:pPr>
        <w:shd w:val="clear" w:color="auto" w:fill="FFFFFF"/>
        <w:spacing w:after="120" w:line="432" w:lineRule="atLeast"/>
        <w:rPr>
          <w:rFonts w:eastAsia="Times New Roman" w:cstheme="minorHAnsi"/>
          <w:lang w:eastAsia="en-GB"/>
        </w:rPr>
      </w:pPr>
      <w:r w:rsidRPr="008B1DBA">
        <w:rPr>
          <w:rFonts w:eastAsia="Times New Roman" w:cstheme="minorHAnsi"/>
          <w:b/>
          <w:bCs/>
          <w:lang w:eastAsia="en-GB"/>
        </w:rPr>
        <w:t>Awareness/Training</w:t>
      </w:r>
    </w:p>
    <w:p w14:paraId="4D94639E" w14:textId="77777777" w:rsidR="00DC4788" w:rsidRPr="008B1DBA" w:rsidRDefault="00DC4788" w:rsidP="00DC4788">
      <w:pPr>
        <w:shd w:val="clear" w:color="auto" w:fill="FFFFFF"/>
        <w:spacing w:after="120" w:line="432" w:lineRule="atLeast"/>
        <w:jc w:val="both"/>
        <w:rPr>
          <w:rFonts w:eastAsia="Times New Roman" w:cstheme="minorHAnsi"/>
          <w:lang w:eastAsia="en-GB"/>
        </w:rPr>
      </w:pPr>
      <w:r w:rsidRPr="008B1DBA">
        <w:rPr>
          <w:rFonts w:eastAsia="Times New Roman" w:cstheme="minorHAnsi"/>
          <w:lang w:eastAsia="en-GB"/>
        </w:rPr>
        <w:t>We ensure that all advisers and staff are familiar with the TCF Principle and its outcomes.  In addition, where applicable, advisers and staff are trained to advise on and adequately explain our products and services. We make sure that all advisers and staff achieve the necessary qualifications and training to carry out their role to the required competence level. We undertake regular monitoring and assessment of our advisers and staff so that we can ensure their competence.</w:t>
      </w:r>
    </w:p>
    <w:p w14:paraId="50BE9191" w14:textId="77777777" w:rsidR="00DC4788" w:rsidRPr="008B1DBA" w:rsidRDefault="00DC4788" w:rsidP="00DC4788">
      <w:pPr>
        <w:shd w:val="clear" w:color="auto" w:fill="FFFFFF"/>
        <w:spacing w:after="120" w:line="432" w:lineRule="atLeast"/>
        <w:jc w:val="both"/>
        <w:rPr>
          <w:rFonts w:eastAsia="Times New Roman" w:cstheme="minorHAnsi"/>
          <w:b/>
          <w:bCs/>
          <w:lang w:eastAsia="en-GB"/>
        </w:rPr>
      </w:pPr>
      <w:r w:rsidRPr="008B1DBA">
        <w:rPr>
          <w:rFonts w:eastAsia="Times New Roman" w:cstheme="minorHAnsi"/>
          <w:b/>
          <w:bCs/>
          <w:lang w:eastAsia="en-GB"/>
        </w:rPr>
        <w:t>Compliance</w:t>
      </w:r>
    </w:p>
    <w:p w14:paraId="39E35A77" w14:textId="77777777" w:rsidR="00DC4788" w:rsidRPr="008B1DBA" w:rsidRDefault="00DC4788" w:rsidP="00DC4788">
      <w:pPr>
        <w:shd w:val="clear" w:color="auto" w:fill="FFFFFF"/>
        <w:spacing w:after="120" w:line="432" w:lineRule="atLeast"/>
        <w:rPr>
          <w:rFonts w:eastAsia="Times New Roman" w:cstheme="minorHAnsi"/>
          <w:lang w:eastAsia="en-GB"/>
        </w:rPr>
      </w:pPr>
      <w:r w:rsidRPr="008B1DBA">
        <w:rPr>
          <w:rFonts w:eastAsia="Times New Roman" w:cstheme="minorHAnsi"/>
          <w:lang w:eastAsia="en-GB"/>
        </w:rPr>
        <w:t>We maintain a Compliance Monitoring Programme which clearly lists areas of responsibilities and the frequency of checks required.</w:t>
      </w:r>
    </w:p>
    <w:p w14:paraId="62126B8F" w14:textId="77777777" w:rsidR="00DC4788" w:rsidRPr="008B1DBA" w:rsidRDefault="00DC4788" w:rsidP="00DC4788">
      <w:pPr>
        <w:shd w:val="clear" w:color="auto" w:fill="FFFFFF"/>
        <w:spacing w:after="120" w:line="432" w:lineRule="atLeast"/>
        <w:rPr>
          <w:rFonts w:eastAsia="Times New Roman" w:cstheme="minorHAnsi"/>
          <w:lang w:eastAsia="en-GB"/>
        </w:rPr>
      </w:pPr>
      <w:r w:rsidRPr="008B1DBA">
        <w:rPr>
          <w:rFonts w:eastAsia="Times New Roman" w:cstheme="minorHAnsi"/>
          <w:lang w:eastAsia="en-GB"/>
        </w:rPr>
        <w:t>We have a compliance team who is independent and regularly monitors all key areas of regulatory compliance including TCF.</w:t>
      </w:r>
    </w:p>
    <w:p w14:paraId="77B52F1A" w14:textId="77777777" w:rsidR="00DC4788" w:rsidRPr="008B1DBA" w:rsidRDefault="00DC4788" w:rsidP="00DC4788">
      <w:pPr>
        <w:shd w:val="clear" w:color="auto" w:fill="FFFFFF"/>
        <w:spacing w:after="120" w:line="432" w:lineRule="atLeast"/>
        <w:rPr>
          <w:rFonts w:eastAsia="Times New Roman" w:cstheme="minorHAnsi"/>
          <w:lang w:eastAsia="en-GB"/>
        </w:rPr>
      </w:pPr>
      <w:r w:rsidRPr="008B1DBA">
        <w:rPr>
          <w:rFonts w:eastAsia="Times New Roman" w:cstheme="minorHAnsi"/>
          <w:lang w:eastAsia="en-GB"/>
        </w:rPr>
        <w:lastRenderedPageBreak/>
        <w:t>Every year we carry out a TCF Self-Assessment to measure our performance and which highlights areas of improvement</w:t>
      </w:r>
    </w:p>
    <w:p w14:paraId="7CDCF6B2" w14:textId="77777777" w:rsidR="00DC4788" w:rsidRPr="008B1DBA" w:rsidRDefault="00DC4788" w:rsidP="00DC4788">
      <w:pPr>
        <w:shd w:val="clear" w:color="auto" w:fill="FFFFFF"/>
        <w:spacing w:after="120" w:line="432" w:lineRule="atLeast"/>
        <w:rPr>
          <w:rFonts w:eastAsia="Times New Roman" w:cstheme="minorHAnsi"/>
          <w:lang w:eastAsia="en-GB"/>
        </w:rPr>
      </w:pPr>
      <w:r w:rsidRPr="008B1DBA">
        <w:rPr>
          <w:rFonts w:eastAsia="Times New Roman" w:cstheme="minorHAnsi"/>
          <w:b/>
          <w:bCs/>
          <w:lang w:eastAsia="en-GB"/>
        </w:rPr>
        <w:t>Remuneration</w:t>
      </w:r>
    </w:p>
    <w:p w14:paraId="43F10D6A" w14:textId="77777777" w:rsidR="00DC4788" w:rsidRPr="008B1DBA" w:rsidRDefault="00DC4788" w:rsidP="00DC4788">
      <w:pPr>
        <w:shd w:val="clear" w:color="auto" w:fill="FFFFFF"/>
        <w:spacing w:after="120" w:line="432" w:lineRule="atLeast"/>
        <w:jc w:val="both"/>
        <w:rPr>
          <w:rFonts w:eastAsia="Times New Roman" w:cstheme="minorHAnsi"/>
          <w:lang w:eastAsia="en-GB"/>
        </w:rPr>
      </w:pPr>
      <w:r w:rsidRPr="008B1DBA">
        <w:rPr>
          <w:rFonts w:eastAsia="Times New Roman" w:cstheme="minorHAnsi"/>
          <w:lang w:eastAsia="en-GB"/>
        </w:rPr>
        <w:t>We operate a remuneration model that does not reward on sales performance only, to mitigate sales bias. We reward non-sales staff in a which does not negatively impact on the treatment of our customers. All staff contribute to the firm’s overall target. The sale of finance is not incentivised.</w:t>
      </w:r>
    </w:p>
    <w:p w14:paraId="119C7400" w14:textId="77777777" w:rsidR="00DC4788" w:rsidRPr="008B1DBA" w:rsidRDefault="00DC4788" w:rsidP="00DC4788">
      <w:pPr>
        <w:shd w:val="clear" w:color="auto" w:fill="FFFFFF"/>
        <w:spacing w:after="120" w:line="432" w:lineRule="atLeast"/>
        <w:jc w:val="both"/>
        <w:rPr>
          <w:rFonts w:eastAsia="Times New Roman" w:cstheme="minorHAnsi"/>
          <w:lang w:eastAsia="en-GB"/>
        </w:rPr>
      </w:pPr>
      <w:r w:rsidRPr="008B1DBA">
        <w:rPr>
          <w:rFonts w:eastAsia="Times New Roman" w:cstheme="minorHAnsi"/>
          <w:b/>
          <w:bCs/>
          <w:lang w:eastAsia="en-GB"/>
        </w:rPr>
        <w:t>Complaints</w:t>
      </w:r>
    </w:p>
    <w:p w14:paraId="3A1AEB55" w14:textId="77777777" w:rsidR="00DC4788" w:rsidRPr="008B1DBA" w:rsidRDefault="00DC4788" w:rsidP="00DC4788">
      <w:pPr>
        <w:shd w:val="clear" w:color="auto" w:fill="FFFFFF"/>
        <w:spacing w:after="120" w:line="432" w:lineRule="atLeast"/>
        <w:jc w:val="both"/>
        <w:rPr>
          <w:rFonts w:eastAsia="Times New Roman" w:cstheme="minorHAnsi"/>
          <w:lang w:eastAsia="en-GB"/>
        </w:rPr>
      </w:pPr>
      <w:r w:rsidRPr="008B1DBA">
        <w:rPr>
          <w:rFonts w:eastAsia="Times New Roman" w:cstheme="minorHAnsi"/>
          <w:lang w:eastAsia="en-GB"/>
        </w:rPr>
        <w:t>Our goal is to provide excellent customer service and complaint handling plays a major part in our TCF policy. We deal with customer complaints fairly and objectively and attempt to put things right as quickly as possible, in accordance with the requirements of the FCA Dispute &amp; Resolution Handbook. All complaints are recorded and monitored, and a root cause analysis performed. All are reported as MI and analysed in senior management meetings.</w:t>
      </w:r>
    </w:p>
    <w:p w14:paraId="35C2F2B9" w14:textId="77777777" w:rsidR="00DC4788" w:rsidRPr="008B1DBA" w:rsidRDefault="00DC4788" w:rsidP="00DC4788">
      <w:pPr>
        <w:shd w:val="clear" w:color="auto" w:fill="FFFFFF"/>
        <w:spacing w:after="120" w:line="432" w:lineRule="atLeast"/>
        <w:rPr>
          <w:rFonts w:eastAsia="Times New Roman" w:cstheme="minorHAnsi"/>
          <w:lang w:eastAsia="en-GB"/>
        </w:rPr>
      </w:pPr>
      <w:r w:rsidRPr="008B1DBA">
        <w:rPr>
          <w:rFonts w:eastAsia="Times New Roman" w:cstheme="minorHAnsi"/>
          <w:b/>
          <w:bCs/>
          <w:lang w:eastAsia="en-GB"/>
        </w:rPr>
        <w:t>Conclusion</w:t>
      </w:r>
    </w:p>
    <w:p w14:paraId="12E66AB1" w14:textId="77777777" w:rsidR="00DC4788" w:rsidRPr="008B1DBA" w:rsidRDefault="00DC4788" w:rsidP="00DC4788">
      <w:pPr>
        <w:shd w:val="clear" w:color="auto" w:fill="FFFFFF"/>
        <w:spacing w:after="120" w:line="432" w:lineRule="atLeast"/>
        <w:jc w:val="both"/>
        <w:rPr>
          <w:rFonts w:eastAsia="Times New Roman" w:cstheme="minorHAnsi"/>
          <w:lang w:eastAsia="en-GB"/>
        </w:rPr>
      </w:pPr>
      <w:r w:rsidRPr="008B1DBA">
        <w:rPr>
          <w:rFonts w:eastAsia="Times New Roman" w:cstheme="minorHAnsi"/>
          <w:lang w:eastAsia="en-GB"/>
        </w:rPr>
        <w:t>We encourage a culture of personal responsibility and impress upon all involved with our firm that a good culture is central to the economic health of our firm. We strive to build a strong conduct culture which builds both customer trust and inspires employees. Getting the culture and conduct right is in the interests of our economic strength and our shareholders.</w:t>
      </w:r>
    </w:p>
    <w:p w14:paraId="2C97C6B8" w14:textId="77777777" w:rsidR="00DC4788" w:rsidRPr="008B1DBA" w:rsidRDefault="00DC4788" w:rsidP="00DC4788">
      <w:pPr>
        <w:shd w:val="clear" w:color="auto" w:fill="FFFFFF"/>
        <w:spacing w:after="120" w:line="432" w:lineRule="atLeast"/>
        <w:jc w:val="both"/>
        <w:rPr>
          <w:rFonts w:eastAsia="Times New Roman" w:cstheme="minorHAnsi"/>
          <w:lang w:eastAsia="en-GB"/>
        </w:rPr>
      </w:pPr>
      <w:r w:rsidRPr="008B1DBA">
        <w:rPr>
          <w:rFonts w:eastAsia="Times New Roman" w:cstheme="minorHAnsi"/>
          <w:lang w:eastAsia="en-GB"/>
        </w:rPr>
        <w:t>We frequently review our policies, procedures and practices to ensure that TCF remains central to our firm.</w:t>
      </w:r>
    </w:p>
    <w:p w14:paraId="55AF4015" w14:textId="77777777" w:rsidR="00DC4788" w:rsidRPr="00E40D0B" w:rsidRDefault="00DC4788" w:rsidP="00DC4788">
      <w:pPr>
        <w:shd w:val="clear" w:color="auto" w:fill="FFFFFF"/>
        <w:spacing w:after="120" w:line="432" w:lineRule="atLeast"/>
        <w:jc w:val="both"/>
        <w:rPr>
          <w:rFonts w:eastAsia="Times New Roman" w:cstheme="minorHAnsi"/>
          <w:lang w:eastAsia="en-GB"/>
        </w:rPr>
      </w:pPr>
      <w:r w:rsidRPr="008B1DBA">
        <w:rPr>
          <w:rFonts w:eastAsia="Times New Roman" w:cstheme="minorHAnsi"/>
          <w:lang w:eastAsia="en-GB"/>
        </w:rPr>
        <w:t>We ask our clients to provide us feedback, sometimes formally through customer surveys, so which enables us to improve our service. The information we gather from our customers is reported in our MI and reviewed by senior managers, directors and board members to help shape any strategic decisions.</w:t>
      </w:r>
    </w:p>
    <w:p w14:paraId="46F9F590" w14:textId="5F5C794E" w:rsidR="003C152A" w:rsidRPr="00DC4788" w:rsidRDefault="003C152A" w:rsidP="00DC4788"/>
    <w:sectPr w:rsidR="003C152A" w:rsidRPr="00DC4788" w:rsidSect="00E40D0B">
      <w:headerReference w:type="default" r:id="rId12"/>
      <w:footerReference w:type="default" r:id="rId13"/>
      <w:pgSz w:w="11907" w:h="16839" w:code="9"/>
      <w:pgMar w:top="1800" w:right="1440" w:bottom="450" w:left="1440" w:header="68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DB8D8" w14:textId="77777777" w:rsidR="003E6C56" w:rsidRDefault="003E6C56" w:rsidP="00A40619">
      <w:pPr>
        <w:spacing w:after="0" w:line="240" w:lineRule="auto"/>
      </w:pPr>
      <w:r>
        <w:separator/>
      </w:r>
    </w:p>
  </w:endnote>
  <w:endnote w:type="continuationSeparator" w:id="0">
    <w:p w14:paraId="122A0B84" w14:textId="77777777" w:rsidR="003E6C56" w:rsidRDefault="003E6C56" w:rsidP="00A40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0A73" w14:textId="4778BE24" w:rsidR="00E40D0B" w:rsidRDefault="00E40D0B">
    <w:pPr>
      <w:ind w:right="260"/>
      <w:rPr>
        <w:color w:val="0F243E"/>
        <w:sz w:val="26"/>
        <w:szCs w:val="26"/>
      </w:rPr>
    </w:pPr>
  </w:p>
  <w:p w14:paraId="123B4AE3" w14:textId="5F5B73BB" w:rsidR="00E40D0B" w:rsidRDefault="00E40D0B">
    <w:pPr>
      <w:ind w:right="260"/>
      <w:rPr>
        <w:color w:val="0F243E"/>
        <w:sz w:val="26"/>
        <w:szCs w:val="26"/>
      </w:rPr>
    </w:pPr>
  </w:p>
  <w:p w14:paraId="11910F05" w14:textId="77777777" w:rsidR="002D2F1B" w:rsidRDefault="002D2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4C372" w14:textId="77777777" w:rsidR="003E6C56" w:rsidRDefault="003E6C56" w:rsidP="00A40619">
      <w:pPr>
        <w:spacing w:after="0" w:line="240" w:lineRule="auto"/>
      </w:pPr>
      <w:bookmarkStart w:id="0" w:name="_Hlk59449208"/>
      <w:bookmarkEnd w:id="0"/>
      <w:r>
        <w:separator/>
      </w:r>
    </w:p>
  </w:footnote>
  <w:footnote w:type="continuationSeparator" w:id="0">
    <w:p w14:paraId="44D74673" w14:textId="77777777" w:rsidR="003E6C56" w:rsidRDefault="003E6C56" w:rsidP="00A40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6479" w14:textId="3DF2A608" w:rsidR="00E40D0B" w:rsidRDefault="0049776F" w:rsidP="0049776F">
    <w:pPr>
      <w:pStyle w:val="Header"/>
    </w:pPr>
    <w:r>
      <w:rPr>
        <w:noProof/>
      </w:rPr>
      <w:drawing>
        <wp:inline distT="0" distB="0" distL="0" distR="0" wp14:anchorId="0E58CB07" wp14:editId="6F723721">
          <wp:extent cx="1842641" cy="103822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118" cy="1057651"/>
                  </a:xfrm>
                  <a:prstGeom prst="rect">
                    <a:avLst/>
                  </a:prstGeom>
                  <a:noFill/>
                  <a:ln>
                    <a:noFill/>
                  </a:ln>
                </pic:spPr>
              </pic:pic>
            </a:graphicData>
          </a:graphic>
        </wp:inline>
      </w:drawing>
    </w:r>
    <w:r>
      <w:tab/>
      <w:t xml:space="preserve">                                                                          </w:t>
    </w:r>
    <w:r w:rsidR="00D468DE">
      <w:rPr>
        <w:noProof/>
      </w:rPr>
      <w:drawing>
        <wp:inline distT="0" distB="0" distL="0" distR="0" wp14:anchorId="31D30C24" wp14:editId="3FB1228C">
          <wp:extent cx="14763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95153" cy="916384"/>
                  </a:xfrm>
                  <a:prstGeom prst="rect">
                    <a:avLst/>
                  </a:prstGeom>
                </pic:spPr>
              </pic:pic>
            </a:graphicData>
          </a:graphic>
        </wp:inline>
      </w:drawing>
    </w:r>
    <w:r w:rsidR="00D468DE">
      <w:tab/>
    </w:r>
    <w:r w:rsidR="00D468DE">
      <w:tab/>
    </w:r>
  </w:p>
  <w:p w14:paraId="20D85EF2" w14:textId="27BF1BD1" w:rsidR="0049776F" w:rsidRDefault="0049776F" w:rsidP="0049776F">
    <w:pPr>
      <w:pStyle w:val="Header"/>
    </w:pPr>
  </w:p>
  <w:p w14:paraId="699AF9B7" w14:textId="77777777" w:rsidR="0049776F" w:rsidRDefault="0049776F" w:rsidP="00497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720"/>
        </w:tabs>
        <w:ind w:left="720" w:hanging="357"/>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multilevel"/>
    <w:tmpl w:val="00000005"/>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0000008"/>
    <w:multiLevelType w:val="multilevel"/>
    <w:tmpl w:val="00000008"/>
    <w:name w:val="WW8Num10"/>
    <w:lvl w:ilvl="0">
      <w:start w:val="1"/>
      <w:numFmt w:val="bullet"/>
      <w:lvlText w:val=""/>
      <w:lvlJc w:val="left"/>
      <w:pPr>
        <w:tabs>
          <w:tab w:val="num" w:pos="720"/>
        </w:tabs>
        <w:ind w:left="720" w:hanging="360"/>
      </w:pPr>
      <w:rPr>
        <w:rFonts w:ascii="Symbol" w:hAnsi="Symbol"/>
      </w:rPr>
    </w:lvl>
    <w:lvl w:ilvl="1">
      <w:start w:val="1"/>
      <w:numFmt w:val="bullet"/>
      <w:pStyle w:val="CMSHeadL2"/>
      <w:lvlText w:val=""/>
      <w:lvlJc w:val="left"/>
      <w:pPr>
        <w:tabs>
          <w:tab w:val="num" w:pos="1080"/>
        </w:tabs>
        <w:ind w:left="1080" w:hanging="360"/>
      </w:pPr>
      <w:rPr>
        <w:rFonts w:ascii="Symbol" w:hAnsi="Symbol"/>
      </w:rPr>
    </w:lvl>
    <w:lvl w:ilvl="2">
      <w:start w:val="1"/>
      <w:numFmt w:val="bullet"/>
      <w:pStyle w:val="CMSHeadL3"/>
      <w:lvlText w:val=""/>
      <w:lvlJc w:val="left"/>
      <w:pPr>
        <w:tabs>
          <w:tab w:val="num" w:pos="1440"/>
        </w:tabs>
        <w:ind w:left="1440" w:hanging="360"/>
      </w:pPr>
      <w:rPr>
        <w:rFonts w:ascii="Symbol" w:hAnsi="Symbol"/>
      </w:rPr>
    </w:lvl>
    <w:lvl w:ilvl="3">
      <w:start w:val="1"/>
      <w:numFmt w:val="bullet"/>
      <w:pStyle w:val="CMSHeadL4"/>
      <w:lvlText w:val=""/>
      <w:lvlJc w:val="left"/>
      <w:pPr>
        <w:tabs>
          <w:tab w:val="num" w:pos="1800"/>
        </w:tabs>
        <w:ind w:left="1800" w:hanging="360"/>
      </w:pPr>
      <w:rPr>
        <w:rFonts w:ascii="Symbol" w:hAnsi="Symbol"/>
      </w:rPr>
    </w:lvl>
    <w:lvl w:ilvl="4">
      <w:start w:val="1"/>
      <w:numFmt w:val="bullet"/>
      <w:pStyle w:val="CMSHeadL5"/>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0B"/>
    <w:multiLevelType w:val="multilevel"/>
    <w:tmpl w:val="0000000B"/>
    <w:lvl w:ilvl="0">
      <w:start w:val="1"/>
      <w:numFmt w:val="bullet"/>
      <w:suff w:val="space"/>
      <w:lvlText w:val=""/>
      <w:lvlJc w:val="left"/>
      <w:pPr>
        <w:tabs>
          <w:tab w:val="num" w:pos="0"/>
        </w:tabs>
      </w:pPr>
      <w:rPr>
        <w:rFonts w:ascii="Symbol" w:hAnsi="Symbol"/>
      </w:rPr>
    </w:lvl>
    <w:lvl w:ilvl="1">
      <w:start w:val="1"/>
      <w:numFmt w:val="bullet"/>
      <w:lvlText w:val=""/>
      <w:lvlJc w:val="left"/>
      <w:pPr>
        <w:tabs>
          <w:tab w:val="num" w:pos="0"/>
        </w:tabs>
      </w:pPr>
      <w:rPr>
        <w:rFonts w:ascii="Symbol" w:hAnsi="Symbol"/>
      </w:rPr>
    </w:lvl>
    <w:lvl w:ilvl="2">
      <w:start w:val="1"/>
      <w:numFmt w:val="bullet"/>
      <w:lvlText w:val=""/>
      <w:lvlJc w:val="left"/>
      <w:pPr>
        <w:tabs>
          <w:tab w:val="num" w:pos="0"/>
        </w:tabs>
      </w:pPr>
      <w:rPr>
        <w:rFonts w:ascii="Symbol" w:hAnsi="Symbol"/>
      </w:rPr>
    </w:lvl>
    <w:lvl w:ilvl="3">
      <w:start w:val="1"/>
      <w:numFmt w:val="bullet"/>
      <w:lvlText w:val=""/>
      <w:lvlJc w:val="left"/>
      <w:pPr>
        <w:tabs>
          <w:tab w:val="num" w:pos="0"/>
        </w:tabs>
      </w:pPr>
      <w:rPr>
        <w:rFonts w:ascii="Symbol" w:hAnsi="Symbol"/>
      </w:rPr>
    </w:lvl>
    <w:lvl w:ilvl="4">
      <w:start w:val="1"/>
      <w:numFmt w:val="bullet"/>
      <w:lvlText w:val=""/>
      <w:lvlJc w:val="left"/>
      <w:pPr>
        <w:tabs>
          <w:tab w:val="num" w:pos="0"/>
        </w:tabs>
      </w:pPr>
      <w:rPr>
        <w:rFonts w:ascii="Symbol" w:hAnsi="Symbol"/>
      </w:rPr>
    </w:lvl>
    <w:lvl w:ilvl="5">
      <w:start w:val="1"/>
      <w:numFmt w:val="bullet"/>
      <w:lvlText w:val=""/>
      <w:lvlJc w:val="left"/>
      <w:pPr>
        <w:tabs>
          <w:tab w:val="num" w:pos="0"/>
        </w:tabs>
      </w:pPr>
      <w:rPr>
        <w:rFonts w:ascii="Symbol" w:hAnsi="Symbol"/>
      </w:rPr>
    </w:lvl>
    <w:lvl w:ilvl="6">
      <w:start w:val="1"/>
      <w:numFmt w:val="bullet"/>
      <w:lvlText w:val=""/>
      <w:lvlJc w:val="left"/>
      <w:pPr>
        <w:tabs>
          <w:tab w:val="num" w:pos="0"/>
        </w:tabs>
      </w:pPr>
      <w:rPr>
        <w:rFonts w:ascii="Symbol" w:hAnsi="Symbol"/>
      </w:rPr>
    </w:lvl>
    <w:lvl w:ilvl="7">
      <w:start w:val="1"/>
      <w:numFmt w:val="bullet"/>
      <w:lvlText w:val=""/>
      <w:lvlJc w:val="left"/>
      <w:pPr>
        <w:tabs>
          <w:tab w:val="num" w:pos="0"/>
        </w:tabs>
      </w:pPr>
      <w:rPr>
        <w:rFonts w:ascii="Symbol" w:hAnsi="Symbol"/>
      </w:rPr>
    </w:lvl>
    <w:lvl w:ilvl="8">
      <w:start w:val="1"/>
      <w:numFmt w:val="bullet"/>
      <w:lvlText w:val=""/>
      <w:lvlJc w:val="left"/>
      <w:pPr>
        <w:tabs>
          <w:tab w:val="num" w:pos="0"/>
        </w:tabs>
      </w:pPr>
      <w:rPr>
        <w:rFonts w:ascii="Symbol" w:hAnsi="Symbol"/>
      </w:rPr>
    </w:lvl>
  </w:abstractNum>
  <w:abstractNum w:abstractNumId="8" w15:restartNumberingAfterBreak="0">
    <w:nsid w:val="00000018"/>
    <w:multiLevelType w:val="multilevel"/>
    <w:tmpl w:val="000000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9"/>
    <w:multiLevelType w:val="multilevel"/>
    <w:tmpl w:val="00000019"/>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15:restartNumberingAfterBreak="0">
    <w:nsid w:val="071153D6"/>
    <w:multiLevelType w:val="hybridMultilevel"/>
    <w:tmpl w:val="1B04D2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94139D0"/>
    <w:multiLevelType w:val="hybridMultilevel"/>
    <w:tmpl w:val="A75C01C8"/>
    <w:lvl w:ilvl="0" w:tplc="4418AF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00134D"/>
    <w:multiLevelType w:val="hybridMultilevel"/>
    <w:tmpl w:val="547EE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415470"/>
    <w:multiLevelType w:val="hybridMultilevel"/>
    <w:tmpl w:val="27F0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F824E5"/>
    <w:multiLevelType w:val="multilevel"/>
    <w:tmpl w:val="18AC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585A2E"/>
    <w:multiLevelType w:val="hybridMultilevel"/>
    <w:tmpl w:val="DF1C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78514F"/>
    <w:multiLevelType w:val="hybridMultilevel"/>
    <w:tmpl w:val="118A3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FD321FC"/>
    <w:multiLevelType w:val="hybridMultilevel"/>
    <w:tmpl w:val="02F011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02850A9"/>
    <w:multiLevelType w:val="multilevel"/>
    <w:tmpl w:val="00000012"/>
    <w:lvl w:ilvl="0">
      <w:start w:val="1"/>
      <w:numFmt w:val="bullet"/>
      <w:suff w:val="space"/>
      <w:lvlText w:val=""/>
      <w:lvlJc w:val="left"/>
      <w:pPr>
        <w:tabs>
          <w:tab w:val="num" w:pos="0"/>
        </w:tabs>
      </w:pPr>
      <w:rPr>
        <w:rFonts w:ascii="Symbol" w:hAnsi="Symbol"/>
      </w:rPr>
    </w:lvl>
    <w:lvl w:ilvl="1">
      <w:start w:val="1"/>
      <w:numFmt w:val="bullet"/>
      <w:suff w:val="space"/>
      <w:lvlText w:val=""/>
      <w:lvlJc w:val="left"/>
      <w:pPr>
        <w:tabs>
          <w:tab w:val="num" w:pos="0"/>
        </w:tabs>
      </w:pPr>
      <w:rPr>
        <w:rFonts w:ascii="Symbol" w:hAnsi="Symbol"/>
      </w:rPr>
    </w:lvl>
    <w:lvl w:ilvl="2">
      <w:start w:val="1"/>
      <w:numFmt w:val="bullet"/>
      <w:suff w:val="space"/>
      <w:lvlText w:val=""/>
      <w:lvlJc w:val="left"/>
      <w:pPr>
        <w:tabs>
          <w:tab w:val="num" w:pos="0"/>
        </w:tabs>
      </w:pPr>
      <w:rPr>
        <w:rFonts w:ascii="Symbol" w:hAnsi="Symbol"/>
      </w:rPr>
    </w:lvl>
    <w:lvl w:ilvl="3">
      <w:start w:val="1"/>
      <w:numFmt w:val="bullet"/>
      <w:suff w:val="space"/>
      <w:lvlText w:val=""/>
      <w:lvlJc w:val="left"/>
      <w:pPr>
        <w:tabs>
          <w:tab w:val="num" w:pos="0"/>
        </w:tabs>
      </w:pPr>
      <w:rPr>
        <w:rFonts w:ascii="Symbol" w:hAnsi="Symbol"/>
      </w:rPr>
    </w:lvl>
    <w:lvl w:ilvl="4">
      <w:start w:val="1"/>
      <w:numFmt w:val="bullet"/>
      <w:suff w:val="space"/>
      <w:lvlText w:val=""/>
      <w:lvlJc w:val="left"/>
      <w:pPr>
        <w:tabs>
          <w:tab w:val="num" w:pos="0"/>
        </w:tabs>
      </w:pPr>
      <w:rPr>
        <w:rFonts w:ascii="Symbol" w:hAnsi="Symbol"/>
      </w:rPr>
    </w:lvl>
    <w:lvl w:ilvl="5">
      <w:start w:val="1"/>
      <w:numFmt w:val="bullet"/>
      <w:suff w:val="space"/>
      <w:lvlText w:val=""/>
      <w:lvlJc w:val="left"/>
      <w:pPr>
        <w:tabs>
          <w:tab w:val="num" w:pos="0"/>
        </w:tabs>
      </w:pPr>
      <w:rPr>
        <w:rFonts w:ascii="Symbol" w:hAnsi="Symbol"/>
      </w:rPr>
    </w:lvl>
    <w:lvl w:ilvl="6">
      <w:start w:val="1"/>
      <w:numFmt w:val="bullet"/>
      <w:suff w:val="space"/>
      <w:lvlText w:val=""/>
      <w:lvlJc w:val="left"/>
      <w:pPr>
        <w:tabs>
          <w:tab w:val="num" w:pos="0"/>
        </w:tabs>
      </w:pPr>
      <w:rPr>
        <w:rFonts w:ascii="Symbol" w:hAnsi="Symbol"/>
      </w:rPr>
    </w:lvl>
    <w:lvl w:ilvl="7">
      <w:start w:val="1"/>
      <w:numFmt w:val="bullet"/>
      <w:suff w:val="space"/>
      <w:lvlText w:val=""/>
      <w:lvlJc w:val="left"/>
      <w:pPr>
        <w:tabs>
          <w:tab w:val="num" w:pos="0"/>
        </w:tabs>
      </w:pPr>
      <w:rPr>
        <w:rFonts w:ascii="Symbol" w:hAnsi="Symbol"/>
      </w:rPr>
    </w:lvl>
    <w:lvl w:ilvl="8">
      <w:start w:val="1"/>
      <w:numFmt w:val="bullet"/>
      <w:suff w:val="space"/>
      <w:lvlText w:val=""/>
      <w:lvlJc w:val="left"/>
      <w:pPr>
        <w:tabs>
          <w:tab w:val="num" w:pos="0"/>
        </w:tabs>
      </w:pPr>
      <w:rPr>
        <w:rFonts w:ascii="Symbol" w:hAnsi="Symbol"/>
      </w:rPr>
    </w:lvl>
  </w:abstractNum>
  <w:abstractNum w:abstractNumId="19" w15:restartNumberingAfterBreak="0">
    <w:nsid w:val="225F5C16"/>
    <w:multiLevelType w:val="hybridMultilevel"/>
    <w:tmpl w:val="D9067196"/>
    <w:lvl w:ilvl="0" w:tplc="36E0BC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288051C"/>
    <w:multiLevelType w:val="multilevel"/>
    <w:tmpl w:val="610A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8F2A89"/>
    <w:multiLevelType w:val="hybridMultilevel"/>
    <w:tmpl w:val="236E7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14779C"/>
    <w:multiLevelType w:val="multilevel"/>
    <w:tmpl w:val="00000012"/>
    <w:lvl w:ilvl="0">
      <w:start w:val="1"/>
      <w:numFmt w:val="bullet"/>
      <w:suff w:val="space"/>
      <w:lvlText w:val=""/>
      <w:lvlJc w:val="left"/>
      <w:pPr>
        <w:tabs>
          <w:tab w:val="num" w:pos="0"/>
        </w:tabs>
      </w:pPr>
      <w:rPr>
        <w:rFonts w:ascii="Symbol" w:hAnsi="Symbol"/>
      </w:rPr>
    </w:lvl>
    <w:lvl w:ilvl="1">
      <w:start w:val="1"/>
      <w:numFmt w:val="bullet"/>
      <w:suff w:val="space"/>
      <w:lvlText w:val=""/>
      <w:lvlJc w:val="left"/>
      <w:pPr>
        <w:tabs>
          <w:tab w:val="num" w:pos="0"/>
        </w:tabs>
      </w:pPr>
      <w:rPr>
        <w:rFonts w:ascii="Symbol" w:hAnsi="Symbol"/>
      </w:rPr>
    </w:lvl>
    <w:lvl w:ilvl="2">
      <w:start w:val="1"/>
      <w:numFmt w:val="bullet"/>
      <w:suff w:val="space"/>
      <w:lvlText w:val=""/>
      <w:lvlJc w:val="left"/>
      <w:pPr>
        <w:tabs>
          <w:tab w:val="num" w:pos="0"/>
        </w:tabs>
      </w:pPr>
      <w:rPr>
        <w:rFonts w:ascii="Symbol" w:hAnsi="Symbol"/>
      </w:rPr>
    </w:lvl>
    <w:lvl w:ilvl="3">
      <w:start w:val="1"/>
      <w:numFmt w:val="bullet"/>
      <w:suff w:val="space"/>
      <w:lvlText w:val=""/>
      <w:lvlJc w:val="left"/>
      <w:pPr>
        <w:tabs>
          <w:tab w:val="num" w:pos="0"/>
        </w:tabs>
      </w:pPr>
      <w:rPr>
        <w:rFonts w:ascii="Symbol" w:hAnsi="Symbol"/>
      </w:rPr>
    </w:lvl>
    <w:lvl w:ilvl="4">
      <w:start w:val="1"/>
      <w:numFmt w:val="bullet"/>
      <w:suff w:val="space"/>
      <w:lvlText w:val=""/>
      <w:lvlJc w:val="left"/>
      <w:pPr>
        <w:tabs>
          <w:tab w:val="num" w:pos="0"/>
        </w:tabs>
      </w:pPr>
      <w:rPr>
        <w:rFonts w:ascii="Symbol" w:hAnsi="Symbol"/>
      </w:rPr>
    </w:lvl>
    <w:lvl w:ilvl="5">
      <w:start w:val="1"/>
      <w:numFmt w:val="bullet"/>
      <w:suff w:val="space"/>
      <w:lvlText w:val=""/>
      <w:lvlJc w:val="left"/>
      <w:pPr>
        <w:tabs>
          <w:tab w:val="num" w:pos="0"/>
        </w:tabs>
      </w:pPr>
      <w:rPr>
        <w:rFonts w:ascii="Symbol" w:hAnsi="Symbol"/>
      </w:rPr>
    </w:lvl>
    <w:lvl w:ilvl="6">
      <w:start w:val="1"/>
      <w:numFmt w:val="bullet"/>
      <w:suff w:val="space"/>
      <w:lvlText w:val=""/>
      <w:lvlJc w:val="left"/>
      <w:pPr>
        <w:tabs>
          <w:tab w:val="num" w:pos="0"/>
        </w:tabs>
      </w:pPr>
      <w:rPr>
        <w:rFonts w:ascii="Symbol" w:hAnsi="Symbol"/>
      </w:rPr>
    </w:lvl>
    <w:lvl w:ilvl="7">
      <w:start w:val="1"/>
      <w:numFmt w:val="bullet"/>
      <w:suff w:val="space"/>
      <w:lvlText w:val=""/>
      <w:lvlJc w:val="left"/>
      <w:pPr>
        <w:tabs>
          <w:tab w:val="num" w:pos="0"/>
        </w:tabs>
      </w:pPr>
      <w:rPr>
        <w:rFonts w:ascii="Symbol" w:hAnsi="Symbol"/>
      </w:rPr>
    </w:lvl>
    <w:lvl w:ilvl="8">
      <w:start w:val="1"/>
      <w:numFmt w:val="bullet"/>
      <w:suff w:val="space"/>
      <w:lvlText w:val=""/>
      <w:lvlJc w:val="left"/>
      <w:pPr>
        <w:tabs>
          <w:tab w:val="num" w:pos="0"/>
        </w:tabs>
      </w:pPr>
      <w:rPr>
        <w:rFonts w:ascii="Symbol" w:hAnsi="Symbol"/>
      </w:rPr>
    </w:lvl>
  </w:abstractNum>
  <w:abstractNum w:abstractNumId="23" w15:restartNumberingAfterBreak="0">
    <w:nsid w:val="3947073F"/>
    <w:multiLevelType w:val="hybridMultilevel"/>
    <w:tmpl w:val="70BC4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9C153B2"/>
    <w:multiLevelType w:val="multilevel"/>
    <w:tmpl w:val="00000012"/>
    <w:lvl w:ilvl="0">
      <w:start w:val="1"/>
      <w:numFmt w:val="bullet"/>
      <w:suff w:val="space"/>
      <w:lvlText w:val=""/>
      <w:lvlJc w:val="left"/>
      <w:pPr>
        <w:tabs>
          <w:tab w:val="num" w:pos="0"/>
        </w:tabs>
      </w:pPr>
      <w:rPr>
        <w:rFonts w:ascii="Symbol" w:hAnsi="Symbol"/>
      </w:rPr>
    </w:lvl>
    <w:lvl w:ilvl="1">
      <w:start w:val="1"/>
      <w:numFmt w:val="bullet"/>
      <w:suff w:val="space"/>
      <w:lvlText w:val=""/>
      <w:lvlJc w:val="left"/>
      <w:pPr>
        <w:tabs>
          <w:tab w:val="num" w:pos="0"/>
        </w:tabs>
      </w:pPr>
      <w:rPr>
        <w:rFonts w:ascii="Symbol" w:hAnsi="Symbol"/>
      </w:rPr>
    </w:lvl>
    <w:lvl w:ilvl="2">
      <w:start w:val="1"/>
      <w:numFmt w:val="bullet"/>
      <w:suff w:val="space"/>
      <w:lvlText w:val=""/>
      <w:lvlJc w:val="left"/>
      <w:pPr>
        <w:tabs>
          <w:tab w:val="num" w:pos="0"/>
        </w:tabs>
      </w:pPr>
      <w:rPr>
        <w:rFonts w:ascii="Symbol" w:hAnsi="Symbol"/>
      </w:rPr>
    </w:lvl>
    <w:lvl w:ilvl="3">
      <w:start w:val="1"/>
      <w:numFmt w:val="bullet"/>
      <w:suff w:val="space"/>
      <w:lvlText w:val=""/>
      <w:lvlJc w:val="left"/>
      <w:pPr>
        <w:tabs>
          <w:tab w:val="num" w:pos="0"/>
        </w:tabs>
      </w:pPr>
      <w:rPr>
        <w:rFonts w:ascii="Symbol" w:hAnsi="Symbol"/>
      </w:rPr>
    </w:lvl>
    <w:lvl w:ilvl="4">
      <w:start w:val="1"/>
      <w:numFmt w:val="bullet"/>
      <w:suff w:val="space"/>
      <w:lvlText w:val=""/>
      <w:lvlJc w:val="left"/>
      <w:pPr>
        <w:tabs>
          <w:tab w:val="num" w:pos="0"/>
        </w:tabs>
      </w:pPr>
      <w:rPr>
        <w:rFonts w:ascii="Symbol" w:hAnsi="Symbol"/>
      </w:rPr>
    </w:lvl>
    <w:lvl w:ilvl="5">
      <w:start w:val="1"/>
      <w:numFmt w:val="bullet"/>
      <w:suff w:val="space"/>
      <w:lvlText w:val=""/>
      <w:lvlJc w:val="left"/>
      <w:pPr>
        <w:tabs>
          <w:tab w:val="num" w:pos="0"/>
        </w:tabs>
      </w:pPr>
      <w:rPr>
        <w:rFonts w:ascii="Symbol" w:hAnsi="Symbol"/>
      </w:rPr>
    </w:lvl>
    <w:lvl w:ilvl="6">
      <w:start w:val="1"/>
      <w:numFmt w:val="bullet"/>
      <w:suff w:val="space"/>
      <w:lvlText w:val=""/>
      <w:lvlJc w:val="left"/>
      <w:pPr>
        <w:tabs>
          <w:tab w:val="num" w:pos="0"/>
        </w:tabs>
      </w:pPr>
      <w:rPr>
        <w:rFonts w:ascii="Symbol" w:hAnsi="Symbol"/>
      </w:rPr>
    </w:lvl>
    <w:lvl w:ilvl="7">
      <w:start w:val="1"/>
      <w:numFmt w:val="bullet"/>
      <w:suff w:val="space"/>
      <w:lvlText w:val=""/>
      <w:lvlJc w:val="left"/>
      <w:pPr>
        <w:tabs>
          <w:tab w:val="num" w:pos="0"/>
        </w:tabs>
      </w:pPr>
      <w:rPr>
        <w:rFonts w:ascii="Symbol" w:hAnsi="Symbol"/>
      </w:rPr>
    </w:lvl>
    <w:lvl w:ilvl="8">
      <w:start w:val="1"/>
      <w:numFmt w:val="bullet"/>
      <w:suff w:val="space"/>
      <w:lvlText w:val=""/>
      <w:lvlJc w:val="left"/>
      <w:pPr>
        <w:tabs>
          <w:tab w:val="num" w:pos="0"/>
        </w:tabs>
      </w:pPr>
      <w:rPr>
        <w:rFonts w:ascii="Symbol" w:hAnsi="Symbol"/>
      </w:rPr>
    </w:lvl>
  </w:abstractNum>
  <w:abstractNum w:abstractNumId="25" w15:restartNumberingAfterBreak="0">
    <w:nsid w:val="436E05E6"/>
    <w:multiLevelType w:val="multilevel"/>
    <w:tmpl w:val="FE2EAFE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287"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43C05E3E"/>
    <w:multiLevelType w:val="hybridMultilevel"/>
    <w:tmpl w:val="85BCF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F06F9E"/>
    <w:multiLevelType w:val="hybridMultilevel"/>
    <w:tmpl w:val="A1EA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3A6E77"/>
    <w:multiLevelType w:val="hybridMultilevel"/>
    <w:tmpl w:val="2A880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9B3FCD"/>
    <w:multiLevelType w:val="hybridMultilevel"/>
    <w:tmpl w:val="A49ED2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4533811"/>
    <w:multiLevelType w:val="hybridMultilevel"/>
    <w:tmpl w:val="410A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517130"/>
    <w:multiLevelType w:val="hybridMultilevel"/>
    <w:tmpl w:val="015EB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064DE7"/>
    <w:multiLevelType w:val="hybridMultilevel"/>
    <w:tmpl w:val="AB902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6F343D0"/>
    <w:multiLevelType w:val="hybridMultilevel"/>
    <w:tmpl w:val="9918A2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D54765E"/>
    <w:multiLevelType w:val="multilevel"/>
    <w:tmpl w:val="821A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443C20"/>
    <w:multiLevelType w:val="multilevel"/>
    <w:tmpl w:val="00000012"/>
    <w:lvl w:ilvl="0">
      <w:start w:val="1"/>
      <w:numFmt w:val="bullet"/>
      <w:suff w:val="space"/>
      <w:lvlText w:val=""/>
      <w:lvlJc w:val="left"/>
      <w:pPr>
        <w:tabs>
          <w:tab w:val="num" w:pos="0"/>
        </w:tabs>
      </w:pPr>
      <w:rPr>
        <w:rFonts w:ascii="Symbol" w:hAnsi="Symbol"/>
      </w:rPr>
    </w:lvl>
    <w:lvl w:ilvl="1">
      <w:start w:val="1"/>
      <w:numFmt w:val="bullet"/>
      <w:suff w:val="space"/>
      <w:lvlText w:val=""/>
      <w:lvlJc w:val="left"/>
      <w:pPr>
        <w:tabs>
          <w:tab w:val="num" w:pos="0"/>
        </w:tabs>
      </w:pPr>
      <w:rPr>
        <w:rFonts w:ascii="Symbol" w:hAnsi="Symbol"/>
      </w:rPr>
    </w:lvl>
    <w:lvl w:ilvl="2">
      <w:start w:val="1"/>
      <w:numFmt w:val="bullet"/>
      <w:suff w:val="space"/>
      <w:lvlText w:val=""/>
      <w:lvlJc w:val="left"/>
      <w:pPr>
        <w:tabs>
          <w:tab w:val="num" w:pos="0"/>
        </w:tabs>
      </w:pPr>
      <w:rPr>
        <w:rFonts w:ascii="Symbol" w:hAnsi="Symbol"/>
      </w:rPr>
    </w:lvl>
    <w:lvl w:ilvl="3">
      <w:start w:val="1"/>
      <w:numFmt w:val="bullet"/>
      <w:suff w:val="space"/>
      <w:lvlText w:val=""/>
      <w:lvlJc w:val="left"/>
      <w:pPr>
        <w:tabs>
          <w:tab w:val="num" w:pos="0"/>
        </w:tabs>
      </w:pPr>
      <w:rPr>
        <w:rFonts w:ascii="Symbol" w:hAnsi="Symbol"/>
      </w:rPr>
    </w:lvl>
    <w:lvl w:ilvl="4">
      <w:start w:val="1"/>
      <w:numFmt w:val="bullet"/>
      <w:suff w:val="space"/>
      <w:lvlText w:val=""/>
      <w:lvlJc w:val="left"/>
      <w:pPr>
        <w:tabs>
          <w:tab w:val="num" w:pos="0"/>
        </w:tabs>
      </w:pPr>
      <w:rPr>
        <w:rFonts w:ascii="Symbol" w:hAnsi="Symbol"/>
      </w:rPr>
    </w:lvl>
    <w:lvl w:ilvl="5">
      <w:start w:val="1"/>
      <w:numFmt w:val="bullet"/>
      <w:suff w:val="space"/>
      <w:lvlText w:val=""/>
      <w:lvlJc w:val="left"/>
      <w:pPr>
        <w:tabs>
          <w:tab w:val="num" w:pos="0"/>
        </w:tabs>
      </w:pPr>
      <w:rPr>
        <w:rFonts w:ascii="Symbol" w:hAnsi="Symbol"/>
      </w:rPr>
    </w:lvl>
    <w:lvl w:ilvl="6">
      <w:start w:val="1"/>
      <w:numFmt w:val="bullet"/>
      <w:suff w:val="space"/>
      <w:lvlText w:val=""/>
      <w:lvlJc w:val="left"/>
      <w:pPr>
        <w:tabs>
          <w:tab w:val="num" w:pos="0"/>
        </w:tabs>
      </w:pPr>
      <w:rPr>
        <w:rFonts w:ascii="Symbol" w:hAnsi="Symbol"/>
      </w:rPr>
    </w:lvl>
    <w:lvl w:ilvl="7">
      <w:start w:val="1"/>
      <w:numFmt w:val="bullet"/>
      <w:suff w:val="space"/>
      <w:lvlText w:val=""/>
      <w:lvlJc w:val="left"/>
      <w:pPr>
        <w:tabs>
          <w:tab w:val="num" w:pos="0"/>
        </w:tabs>
      </w:pPr>
      <w:rPr>
        <w:rFonts w:ascii="Symbol" w:hAnsi="Symbol"/>
      </w:rPr>
    </w:lvl>
    <w:lvl w:ilvl="8">
      <w:start w:val="1"/>
      <w:numFmt w:val="bullet"/>
      <w:suff w:val="space"/>
      <w:lvlText w:val=""/>
      <w:lvlJc w:val="left"/>
      <w:pPr>
        <w:tabs>
          <w:tab w:val="num" w:pos="0"/>
        </w:tabs>
      </w:pPr>
      <w:rPr>
        <w:rFonts w:ascii="Symbol" w:hAnsi="Symbol"/>
      </w:rPr>
    </w:lvl>
  </w:abstractNum>
  <w:num w:numId="1" w16cid:durableId="1339581521">
    <w:abstractNumId w:val="25"/>
  </w:num>
  <w:num w:numId="2" w16cid:durableId="1241019603">
    <w:abstractNumId w:val="30"/>
  </w:num>
  <w:num w:numId="3" w16cid:durableId="921527254">
    <w:abstractNumId w:val="5"/>
  </w:num>
  <w:num w:numId="4" w16cid:durableId="1855797783">
    <w:abstractNumId w:val="15"/>
  </w:num>
  <w:num w:numId="5" w16cid:durableId="1987661022">
    <w:abstractNumId w:val="6"/>
  </w:num>
  <w:num w:numId="6" w16cid:durableId="1205943383">
    <w:abstractNumId w:val="0"/>
  </w:num>
  <w:num w:numId="7" w16cid:durableId="1917013578">
    <w:abstractNumId w:val="2"/>
  </w:num>
  <w:num w:numId="8" w16cid:durableId="314067123">
    <w:abstractNumId w:val="8"/>
  </w:num>
  <w:num w:numId="9" w16cid:durableId="385838403">
    <w:abstractNumId w:val="4"/>
  </w:num>
  <w:num w:numId="10" w16cid:durableId="1652053192">
    <w:abstractNumId w:val="9"/>
  </w:num>
  <w:num w:numId="11" w16cid:durableId="1715157045">
    <w:abstractNumId w:val="1"/>
  </w:num>
  <w:num w:numId="12" w16cid:durableId="2092853597">
    <w:abstractNumId w:val="3"/>
  </w:num>
  <w:num w:numId="13" w16cid:durableId="1307973058">
    <w:abstractNumId w:val="7"/>
  </w:num>
  <w:num w:numId="14" w16cid:durableId="1530609846">
    <w:abstractNumId w:val="28"/>
  </w:num>
  <w:num w:numId="15" w16cid:durableId="1925602133">
    <w:abstractNumId w:val="29"/>
  </w:num>
  <w:num w:numId="16" w16cid:durableId="1471480546">
    <w:abstractNumId w:val="17"/>
  </w:num>
  <w:num w:numId="17" w16cid:durableId="54087546">
    <w:abstractNumId w:val="13"/>
  </w:num>
  <w:num w:numId="18" w16cid:durableId="1101102043">
    <w:abstractNumId w:val="26"/>
  </w:num>
  <w:num w:numId="19" w16cid:durableId="129787150">
    <w:abstractNumId w:val="27"/>
  </w:num>
  <w:num w:numId="20" w16cid:durableId="1081411496">
    <w:abstractNumId w:val="24"/>
  </w:num>
  <w:num w:numId="21" w16cid:durableId="704017022">
    <w:abstractNumId w:val="22"/>
  </w:num>
  <w:num w:numId="22" w16cid:durableId="631979238">
    <w:abstractNumId w:val="18"/>
  </w:num>
  <w:num w:numId="23" w16cid:durableId="110635109">
    <w:abstractNumId w:val="35"/>
  </w:num>
  <w:num w:numId="24" w16cid:durableId="1573275757">
    <w:abstractNumId w:val="21"/>
  </w:num>
  <w:num w:numId="25" w16cid:durableId="1678773979">
    <w:abstractNumId w:val="12"/>
  </w:num>
  <w:num w:numId="26" w16cid:durableId="2116048524">
    <w:abstractNumId w:val="31"/>
  </w:num>
  <w:num w:numId="27" w16cid:durableId="1728870884">
    <w:abstractNumId w:val="11"/>
  </w:num>
  <w:num w:numId="28" w16cid:durableId="760371478">
    <w:abstractNumId w:val="19"/>
  </w:num>
  <w:num w:numId="29" w16cid:durableId="1248464819">
    <w:abstractNumId w:val="23"/>
  </w:num>
  <w:num w:numId="30" w16cid:durableId="1705328853">
    <w:abstractNumId w:val="20"/>
  </w:num>
  <w:num w:numId="31" w16cid:durableId="1839030756">
    <w:abstractNumId w:val="34"/>
  </w:num>
  <w:num w:numId="32" w16cid:durableId="1759981590">
    <w:abstractNumId w:val="14"/>
  </w:num>
  <w:num w:numId="33" w16cid:durableId="2094012262">
    <w:abstractNumId w:val="16"/>
  </w:num>
  <w:num w:numId="34" w16cid:durableId="584531021">
    <w:abstractNumId w:val="10"/>
  </w:num>
  <w:num w:numId="35" w16cid:durableId="951590472">
    <w:abstractNumId w:val="33"/>
  </w:num>
  <w:num w:numId="36" w16cid:durableId="1189027635">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D8"/>
    <w:rsid w:val="00003202"/>
    <w:rsid w:val="000053CB"/>
    <w:rsid w:val="0001079C"/>
    <w:rsid w:val="00030BE6"/>
    <w:rsid w:val="000325F5"/>
    <w:rsid w:val="00035F23"/>
    <w:rsid w:val="00037514"/>
    <w:rsid w:val="0004041E"/>
    <w:rsid w:val="00047B7E"/>
    <w:rsid w:val="00055CFD"/>
    <w:rsid w:val="00062980"/>
    <w:rsid w:val="0006525A"/>
    <w:rsid w:val="00066F13"/>
    <w:rsid w:val="00067462"/>
    <w:rsid w:val="000676DF"/>
    <w:rsid w:val="000800BB"/>
    <w:rsid w:val="00085192"/>
    <w:rsid w:val="0008758C"/>
    <w:rsid w:val="000A26E1"/>
    <w:rsid w:val="000A3577"/>
    <w:rsid w:val="000A43DB"/>
    <w:rsid w:val="000A6ADC"/>
    <w:rsid w:val="000B3BDF"/>
    <w:rsid w:val="000C0FF0"/>
    <w:rsid w:val="000D1EEC"/>
    <w:rsid w:val="000D3642"/>
    <w:rsid w:val="000D6518"/>
    <w:rsid w:val="000E1A6E"/>
    <w:rsid w:val="000E5990"/>
    <w:rsid w:val="000E680B"/>
    <w:rsid w:val="000F0324"/>
    <w:rsid w:val="000F05DD"/>
    <w:rsid w:val="000F344C"/>
    <w:rsid w:val="001035DA"/>
    <w:rsid w:val="00117271"/>
    <w:rsid w:val="001203D0"/>
    <w:rsid w:val="001305C8"/>
    <w:rsid w:val="00145AD7"/>
    <w:rsid w:val="00163F75"/>
    <w:rsid w:val="00166A2F"/>
    <w:rsid w:val="00167400"/>
    <w:rsid w:val="0016744E"/>
    <w:rsid w:val="00173AB6"/>
    <w:rsid w:val="001828AF"/>
    <w:rsid w:val="00182EB7"/>
    <w:rsid w:val="00183739"/>
    <w:rsid w:val="001905E0"/>
    <w:rsid w:val="00191E91"/>
    <w:rsid w:val="001B28EC"/>
    <w:rsid w:val="001D7FB8"/>
    <w:rsid w:val="001E3097"/>
    <w:rsid w:val="001E73B0"/>
    <w:rsid w:val="001F1BD0"/>
    <w:rsid w:val="001F5CE2"/>
    <w:rsid w:val="00206E5E"/>
    <w:rsid w:val="002128CD"/>
    <w:rsid w:val="00217587"/>
    <w:rsid w:val="00221298"/>
    <w:rsid w:val="00222056"/>
    <w:rsid w:val="00222E6B"/>
    <w:rsid w:val="0023029F"/>
    <w:rsid w:val="002347E0"/>
    <w:rsid w:val="0023497D"/>
    <w:rsid w:val="00234CBC"/>
    <w:rsid w:val="002553AB"/>
    <w:rsid w:val="002620BF"/>
    <w:rsid w:val="00262DC0"/>
    <w:rsid w:val="0026329D"/>
    <w:rsid w:val="00263F65"/>
    <w:rsid w:val="0027265C"/>
    <w:rsid w:val="00275231"/>
    <w:rsid w:val="00276A8D"/>
    <w:rsid w:val="00284EDC"/>
    <w:rsid w:val="002850EB"/>
    <w:rsid w:val="002B4651"/>
    <w:rsid w:val="002B6935"/>
    <w:rsid w:val="002C308A"/>
    <w:rsid w:val="002C388B"/>
    <w:rsid w:val="002C38C6"/>
    <w:rsid w:val="002C47A7"/>
    <w:rsid w:val="002C6D19"/>
    <w:rsid w:val="002D1C14"/>
    <w:rsid w:val="002D2F1B"/>
    <w:rsid w:val="002E13A9"/>
    <w:rsid w:val="002E23A7"/>
    <w:rsid w:val="002E4D7D"/>
    <w:rsid w:val="002E7845"/>
    <w:rsid w:val="002F0E21"/>
    <w:rsid w:val="002F1606"/>
    <w:rsid w:val="003045C1"/>
    <w:rsid w:val="003264E6"/>
    <w:rsid w:val="003276F1"/>
    <w:rsid w:val="003310C9"/>
    <w:rsid w:val="00346DBC"/>
    <w:rsid w:val="00357FD3"/>
    <w:rsid w:val="003641F5"/>
    <w:rsid w:val="00366A15"/>
    <w:rsid w:val="0037593C"/>
    <w:rsid w:val="00376785"/>
    <w:rsid w:val="00387B8C"/>
    <w:rsid w:val="00397A59"/>
    <w:rsid w:val="003A3EAA"/>
    <w:rsid w:val="003A4498"/>
    <w:rsid w:val="003A59F3"/>
    <w:rsid w:val="003B036C"/>
    <w:rsid w:val="003B7320"/>
    <w:rsid w:val="003C152A"/>
    <w:rsid w:val="003C5685"/>
    <w:rsid w:val="003C75FB"/>
    <w:rsid w:val="003D16B3"/>
    <w:rsid w:val="003D369E"/>
    <w:rsid w:val="003D3816"/>
    <w:rsid w:val="003D7C21"/>
    <w:rsid w:val="003E2CD8"/>
    <w:rsid w:val="003E6C56"/>
    <w:rsid w:val="003F0FB1"/>
    <w:rsid w:val="003F212C"/>
    <w:rsid w:val="0042073B"/>
    <w:rsid w:val="00426115"/>
    <w:rsid w:val="004335E4"/>
    <w:rsid w:val="004353DC"/>
    <w:rsid w:val="00435B5E"/>
    <w:rsid w:val="00447B19"/>
    <w:rsid w:val="00451573"/>
    <w:rsid w:val="0045290B"/>
    <w:rsid w:val="00456938"/>
    <w:rsid w:val="00461A30"/>
    <w:rsid w:val="004810F0"/>
    <w:rsid w:val="0048237C"/>
    <w:rsid w:val="00484CB5"/>
    <w:rsid w:val="00485954"/>
    <w:rsid w:val="004907DC"/>
    <w:rsid w:val="00490E85"/>
    <w:rsid w:val="00493E72"/>
    <w:rsid w:val="0049776F"/>
    <w:rsid w:val="004A78C5"/>
    <w:rsid w:val="004B06A4"/>
    <w:rsid w:val="004B3018"/>
    <w:rsid w:val="004B653D"/>
    <w:rsid w:val="004D4B97"/>
    <w:rsid w:val="004E34E2"/>
    <w:rsid w:val="004E6926"/>
    <w:rsid w:val="004F603D"/>
    <w:rsid w:val="00502CC2"/>
    <w:rsid w:val="00514AF8"/>
    <w:rsid w:val="00525A14"/>
    <w:rsid w:val="00531F6D"/>
    <w:rsid w:val="00532BD1"/>
    <w:rsid w:val="00533A5E"/>
    <w:rsid w:val="0053745A"/>
    <w:rsid w:val="0054204F"/>
    <w:rsid w:val="00542073"/>
    <w:rsid w:val="00543F16"/>
    <w:rsid w:val="00553DF5"/>
    <w:rsid w:val="0056061C"/>
    <w:rsid w:val="005642E5"/>
    <w:rsid w:val="005710FD"/>
    <w:rsid w:val="00591E8F"/>
    <w:rsid w:val="00592F25"/>
    <w:rsid w:val="00597589"/>
    <w:rsid w:val="005977B4"/>
    <w:rsid w:val="005A1578"/>
    <w:rsid w:val="005A32F7"/>
    <w:rsid w:val="005D5974"/>
    <w:rsid w:val="005E0895"/>
    <w:rsid w:val="005E281F"/>
    <w:rsid w:val="005F1027"/>
    <w:rsid w:val="005F56B2"/>
    <w:rsid w:val="00607DB3"/>
    <w:rsid w:val="006173D7"/>
    <w:rsid w:val="0062096F"/>
    <w:rsid w:val="00624B0D"/>
    <w:rsid w:val="006253C5"/>
    <w:rsid w:val="00630D2E"/>
    <w:rsid w:val="00655E77"/>
    <w:rsid w:val="006604FA"/>
    <w:rsid w:val="00664F44"/>
    <w:rsid w:val="006710A3"/>
    <w:rsid w:val="006872F1"/>
    <w:rsid w:val="006904BC"/>
    <w:rsid w:val="006A69C2"/>
    <w:rsid w:val="006A76C0"/>
    <w:rsid w:val="006A7C6F"/>
    <w:rsid w:val="006B19FE"/>
    <w:rsid w:val="006C768D"/>
    <w:rsid w:val="006D2484"/>
    <w:rsid w:val="006D617A"/>
    <w:rsid w:val="006E2D98"/>
    <w:rsid w:val="006E4882"/>
    <w:rsid w:val="006F6A95"/>
    <w:rsid w:val="00700AD5"/>
    <w:rsid w:val="00712DA9"/>
    <w:rsid w:val="00716418"/>
    <w:rsid w:val="0071728B"/>
    <w:rsid w:val="007179FD"/>
    <w:rsid w:val="00734443"/>
    <w:rsid w:val="00743573"/>
    <w:rsid w:val="00750B8C"/>
    <w:rsid w:val="00755280"/>
    <w:rsid w:val="007571AA"/>
    <w:rsid w:val="00757207"/>
    <w:rsid w:val="00757C9C"/>
    <w:rsid w:val="007730E3"/>
    <w:rsid w:val="00775D95"/>
    <w:rsid w:val="0077782F"/>
    <w:rsid w:val="007A23D2"/>
    <w:rsid w:val="007A3199"/>
    <w:rsid w:val="007B6B83"/>
    <w:rsid w:val="007D5F29"/>
    <w:rsid w:val="007E57E2"/>
    <w:rsid w:val="007E6EF6"/>
    <w:rsid w:val="007F5B7C"/>
    <w:rsid w:val="00801820"/>
    <w:rsid w:val="00801B86"/>
    <w:rsid w:val="00802B52"/>
    <w:rsid w:val="00804052"/>
    <w:rsid w:val="008051E5"/>
    <w:rsid w:val="00806258"/>
    <w:rsid w:val="0081660F"/>
    <w:rsid w:val="00827D84"/>
    <w:rsid w:val="00831CBD"/>
    <w:rsid w:val="00832598"/>
    <w:rsid w:val="008326B9"/>
    <w:rsid w:val="008327D3"/>
    <w:rsid w:val="00837229"/>
    <w:rsid w:val="00842358"/>
    <w:rsid w:val="0084362C"/>
    <w:rsid w:val="00847939"/>
    <w:rsid w:val="00850E2C"/>
    <w:rsid w:val="00851BD7"/>
    <w:rsid w:val="00857610"/>
    <w:rsid w:val="00874B6E"/>
    <w:rsid w:val="008767DA"/>
    <w:rsid w:val="008768B0"/>
    <w:rsid w:val="00881285"/>
    <w:rsid w:val="0088389D"/>
    <w:rsid w:val="008852AE"/>
    <w:rsid w:val="0089240D"/>
    <w:rsid w:val="00896B41"/>
    <w:rsid w:val="008A1D49"/>
    <w:rsid w:val="008A20E1"/>
    <w:rsid w:val="008A518A"/>
    <w:rsid w:val="008B00B0"/>
    <w:rsid w:val="008B01BB"/>
    <w:rsid w:val="008B2C3A"/>
    <w:rsid w:val="008B2E86"/>
    <w:rsid w:val="008B6A55"/>
    <w:rsid w:val="008C260D"/>
    <w:rsid w:val="008F3E53"/>
    <w:rsid w:val="008F6011"/>
    <w:rsid w:val="0090269A"/>
    <w:rsid w:val="009108F9"/>
    <w:rsid w:val="009110D1"/>
    <w:rsid w:val="00913F06"/>
    <w:rsid w:val="00917364"/>
    <w:rsid w:val="00925E71"/>
    <w:rsid w:val="00931493"/>
    <w:rsid w:val="00935E8D"/>
    <w:rsid w:val="0094155D"/>
    <w:rsid w:val="00941ABE"/>
    <w:rsid w:val="00942854"/>
    <w:rsid w:val="009428EA"/>
    <w:rsid w:val="00943C33"/>
    <w:rsid w:val="00962210"/>
    <w:rsid w:val="00962FFD"/>
    <w:rsid w:val="009825A5"/>
    <w:rsid w:val="00985CDF"/>
    <w:rsid w:val="00992ADA"/>
    <w:rsid w:val="009942B6"/>
    <w:rsid w:val="009B3D55"/>
    <w:rsid w:val="009B3F14"/>
    <w:rsid w:val="009B519E"/>
    <w:rsid w:val="009C4492"/>
    <w:rsid w:val="009C6060"/>
    <w:rsid w:val="009D04ED"/>
    <w:rsid w:val="009D410A"/>
    <w:rsid w:val="009D46C6"/>
    <w:rsid w:val="009E0F11"/>
    <w:rsid w:val="009E1782"/>
    <w:rsid w:val="009E21F3"/>
    <w:rsid w:val="00A000B4"/>
    <w:rsid w:val="00A074A9"/>
    <w:rsid w:val="00A17AB7"/>
    <w:rsid w:val="00A215D8"/>
    <w:rsid w:val="00A272C7"/>
    <w:rsid w:val="00A40619"/>
    <w:rsid w:val="00A41F7D"/>
    <w:rsid w:val="00A43683"/>
    <w:rsid w:val="00A44534"/>
    <w:rsid w:val="00A4731E"/>
    <w:rsid w:val="00A638F8"/>
    <w:rsid w:val="00A65926"/>
    <w:rsid w:val="00A74FAD"/>
    <w:rsid w:val="00A82DF4"/>
    <w:rsid w:val="00A8460A"/>
    <w:rsid w:val="00A84C10"/>
    <w:rsid w:val="00AA237E"/>
    <w:rsid w:val="00AA6E5A"/>
    <w:rsid w:val="00AA7DE1"/>
    <w:rsid w:val="00AB0422"/>
    <w:rsid w:val="00AB114E"/>
    <w:rsid w:val="00AB6DB2"/>
    <w:rsid w:val="00AD25F5"/>
    <w:rsid w:val="00AF4445"/>
    <w:rsid w:val="00AF4709"/>
    <w:rsid w:val="00AF6F9F"/>
    <w:rsid w:val="00B06A44"/>
    <w:rsid w:val="00B37D29"/>
    <w:rsid w:val="00B40141"/>
    <w:rsid w:val="00B41CF6"/>
    <w:rsid w:val="00B459B9"/>
    <w:rsid w:val="00B469B0"/>
    <w:rsid w:val="00B4771B"/>
    <w:rsid w:val="00B51EA2"/>
    <w:rsid w:val="00B536D1"/>
    <w:rsid w:val="00B55D03"/>
    <w:rsid w:val="00B560C4"/>
    <w:rsid w:val="00B634E2"/>
    <w:rsid w:val="00B65912"/>
    <w:rsid w:val="00B67120"/>
    <w:rsid w:val="00B702CD"/>
    <w:rsid w:val="00B70521"/>
    <w:rsid w:val="00B72E98"/>
    <w:rsid w:val="00B858A9"/>
    <w:rsid w:val="00BA12A0"/>
    <w:rsid w:val="00BA1FD2"/>
    <w:rsid w:val="00BA5FD7"/>
    <w:rsid w:val="00BA75B8"/>
    <w:rsid w:val="00BB12CE"/>
    <w:rsid w:val="00BB39B6"/>
    <w:rsid w:val="00BC3ABB"/>
    <w:rsid w:val="00BD3542"/>
    <w:rsid w:val="00BF1FA3"/>
    <w:rsid w:val="00BF396B"/>
    <w:rsid w:val="00C04E75"/>
    <w:rsid w:val="00C0524C"/>
    <w:rsid w:val="00C05B80"/>
    <w:rsid w:val="00C12820"/>
    <w:rsid w:val="00C138E6"/>
    <w:rsid w:val="00C138E7"/>
    <w:rsid w:val="00C22467"/>
    <w:rsid w:val="00C27D4C"/>
    <w:rsid w:val="00C373AA"/>
    <w:rsid w:val="00C427B6"/>
    <w:rsid w:val="00C466AC"/>
    <w:rsid w:val="00C51195"/>
    <w:rsid w:val="00C74CBC"/>
    <w:rsid w:val="00C8069A"/>
    <w:rsid w:val="00C80B26"/>
    <w:rsid w:val="00C81EEE"/>
    <w:rsid w:val="00C824C8"/>
    <w:rsid w:val="00C82F35"/>
    <w:rsid w:val="00C911DF"/>
    <w:rsid w:val="00C927EE"/>
    <w:rsid w:val="00C93394"/>
    <w:rsid w:val="00C964F9"/>
    <w:rsid w:val="00CA1F0B"/>
    <w:rsid w:val="00CB0CFC"/>
    <w:rsid w:val="00CF2735"/>
    <w:rsid w:val="00D1145C"/>
    <w:rsid w:val="00D116EA"/>
    <w:rsid w:val="00D1407B"/>
    <w:rsid w:val="00D14679"/>
    <w:rsid w:val="00D163FB"/>
    <w:rsid w:val="00D17B78"/>
    <w:rsid w:val="00D20E56"/>
    <w:rsid w:val="00D247BD"/>
    <w:rsid w:val="00D27AC3"/>
    <w:rsid w:val="00D37F6C"/>
    <w:rsid w:val="00D41198"/>
    <w:rsid w:val="00D42711"/>
    <w:rsid w:val="00D44A93"/>
    <w:rsid w:val="00D468DE"/>
    <w:rsid w:val="00D47F37"/>
    <w:rsid w:val="00D559AC"/>
    <w:rsid w:val="00D571DD"/>
    <w:rsid w:val="00D65512"/>
    <w:rsid w:val="00D711D5"/>
    <w:rsid w:val="00D92FD3"/>
    <w:rsid w:val="00D93CA1"/>
    <w:rsid w:val="00D942AD"/>
    <w:rsid w:val="00D961D9"/>
    <w:rsid w:val="00DA7F03"/>
    <w:rsid w:val="00DB5FEB"/>
    <w:rsid w:val="00DC362B"/>
    <w:rsid w:val="00DC4788"/>
    <w:rsid w:val="00DC639B"/>
    <w:rsid w:val="00DD0950"/>
    <w:rsid w:val="00DD42E7"/>
    <w:rsid w:val="00DD43BD"/>
    <w:rsid w:val="00DE0841"/>
    <w:rsid w:val="00DE2108"/>
    <w:rsid w:val="00DF5C9B"/>
    <w:rsid w:val="00E0085F"/>
    <w:rsid w:val="00E0222E"/>
    <w:rsid w:val="00E065C4"/>
    <w:rsid w:val="00E101F1"/>
    <w:rsid w:val="00E164DB"/>
    <w:rsid w:val="00E221A5"/>
    <w:rsid w:val="00E239CC"/>
    <w:rsid w:val="00E245C5"/>
    <w:rsid w:val="00E25E8A"/>
    <w:rsid w:val="00E27221"/>
    <w:rsid w:val="00E272BB"/>
    <w:rsid w:val="00E40D0B"/>
    <w:rsid w:val="00E43827"/>
    <w:rsid w:val="00E47675"/>
    <w:rsid w:val="00E51A50"/>
    <w:rsid w:val="00E552DB"/>
    <w:rsid w:val="00E64180"/>
    <w:rsid w:val="00E65CCE"/>
    <w:rsid w:val="00E67479"/>
    <w:rsid w:val="00E74CF1"/>
    <w:rsid w:val="00E91E43"/>
    <w:rsid w:val="00E974BF"/>
    <w:rsid w:val="00EB5C42"/>
    <w:rsid w:val="00EB75E8"/>
    <w:rsid w:val="00EB7E2E"/>
    <w:rsid w:val="00EC2773"/>
    <w:rsid w:val="00EC3946"/>
    <w:rsid w:val="00EC52AC"/>
    <w:rsid w:val="00EC714D"/>
    <w:rsid w:val="00ED29F9"/>
    <w:rsid w:val="00ED3616"/>
    <w:rsid w:val="00EE0050"/>
    <w:rsid w:val="00EE16F9"/>
    <w:rsid w:val="00EE68D9"/>
    <w:rsid w:val="00EF2C0B"/>
    <w:rsid w:val="00EF717D"/>
    <w:rsid w:val="00EF7678"/>
    <w:rsid w:val="00EF794C"/>
    <w:rsid w:val="00F04A4E"/>
    <w:rsid w:val="00F0596B"/>
    <w:rsid w:val="00F069B0"/>
    <w:rsid w:val="00F11D3C"/>
    <w:rsid w:val="00F222BB"/>
    <w:rsid w:val="00F2522A"/>
    <w:rsid w:val="00F478BB"/>
    <w:rsid w:val="00F53E56"/>
    <w:rsid w:val="00F6345F"/>
    <w:rsid w:val="00F63EE3"/>
    <w:rsid w:val="00F66C27"/>
    <w:rsid w:val="00F7577D"/>
    <w:rsid w:val="00F75AF8"/>
    <w:rsid w:val="00F76C4F"/>
    <w:rsid w:val="00F8036B"/>
    <w:rsid w:val="00F94376"/>
    <w:rsid w:val="00F96F47"/>
    <w:rsid w:val="00FA26D0"/>
    <w:rsid w:val="00FA2D9D"/>
    <w:rsid w:val="00FA5322"/>
    <w:rsid w:val="00FB4496"/>
    <w:rsid w:val="00FB569F"/>
    <w:rsid w:val="00FB59FD"/>
    <w:rsid w:val="00FC2BE6"/>
    <w:rsid w:val="00FC69C9"/>
    <w:rsid w:val="00FD06CA"/>
    <w:rsid w:val="00FD2D87"/>
    <w:rsid w:val="00FD784C"/>
    <w:rsid w:val="00FE2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8900D7"/>
  <w15:docId w15:val="{3A16C637-63A8-4021-9E27-FA668169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CD8"/>
    <w:pPr>
      <w:spacing w:after="200" w:line="276" w:lineRule="auto"/>
    </w:pPr>
    <w:rPr>
      <w:sz w:val="22"/>
      <w:szCs w:val="22"/>
      <w:lang w:eastAsia="en-US"/>
    </w:rPr>
  </w:style>
  <w:style w:type="paragraph" w:styleId="Heading1">
    <w:name w:val="heading 1"/>
    <w:basedOn w:val="Normal"/>
    <w:next w:val="Normal"/>
    <w:link w:val="Heading1Char"/>
    <w:uiPriority w:val="9"/>
    <w:qFormat/>
    <w:rsid w:val="003E2CD8"/>
    <w:pPr>
      <w:keepNext/>
      <w:keepLines/>
      <w:numPr>
        <w:numId w:val="1"/>
      </w:numPr>
      <w:spacing w:before="480" w:after="0"/>
      <w:outlineLvl w:val="0"/>
    </w:pPr>
    <w:rPr>
      <w:rFonts w:ascii="Arial" w:eastAsia="Times New Roman" w:hAnsi="Arial"/>
      <w:b/>
      <w:bCs/>
      <w:sz w:val="28"/>
      <w:szCs w:val="28"/>
    </w:rPr>
  </w:style>
  <w:style w:type="paragraph" w:styleId="Heading2">
    <w:name w:val="heading 2"/>
    <w:basedOn w:val="Normal"/>
    <w:next w:val="Normal"/>
    <w:link w:val="Heading2Char"/>
    <w:uiPriority w:val="99"/>
    <w:unhideWhenUsed/>
    <w:qFormat/>
    <w:rsid w:val="00FE2588"/>
    <w:pPr>
      <w:keepNext/>
      <w:keepLines/>
      <w:numPr>
        <w:ilvl w:val="1"/>
        <w:numId w:val="1"/>
      </w:numPr>
      <w:spacing w:before="200" w:after="0"/>
      <w:outlineLvl w:val="1"/>
    </w:pPr>
    <w:rPr>
      <w:rFonts w:ascii="Arial" w:eastAsia="Times New Roman" w:hAnsi="Arial"/>
      <w:b/>
      <w:bCs/>
      <w:sz w:val="24"/>
      <w:szCs w:val="26"/>
    </w:rPr>
  </w:style>
  <w:style w:type="paragraph" w:styleId="Heading3">
    <w:name w:val="heading 3"/>
    <w:basedOn w:val="Normal"/>
    <w:next w:val="Normal"/>
    <w:link w:val="Heading3Char"/>
    <w:uiPriority w:val="99"/>
    <w:unhideWhenUsed/>
    <w:qFormat/>
    <w:rsid w:val="00FE2588"/>
    <w:pPr>
      <w:keepNext/>
      <w:keepLines/>
      <w:numPr>
        <w:ilvl w:val="2"/>
        <w:numId w:val="1"/>
      </w:numPr>
      <w:spacing w:before="200" w:after="0"/>
      <w:outlineLvl w:val="2"/>
    </w:pPr>
    <w:rPr>
      <w:rFonts w:ascii="Arial" w:eastAsia="Times New Roman" w:hAnsi="Arial"/>
      <w:b/>
      <w:bCs/>
      <w:sz w:val="20"/>
    </w:rPr>
  </w:style>
  <w:style w:type="paragraph" w:styleId="Heading4">
    <w:name w:val="heading 4"/>
    <w:basedOn w:val="Normal"/>
    <w:next w:val="Normal"/>
    <w:link w:val="Heading4Char"/>
    <w:uiPriority w:val="9"/>
    <w:unhideWhenUsed/>
    <w:qFormat/>
    <w:rsid w:val="003E2CD8"/>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3E2CD8"/>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3E2CD8"/>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qFormat/>
    <w:rsid w:val="003E2CD8"/>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E2CD8"/>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3E2CD8"/>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CD8"/>
    <w:rPr>
      <w:rFonts w:ascii="Arial" w:eastAsia="Times New Roman" w:hAnsi="Arial"/>
      <w:b/>
      <w:bCs/>
      <w:sz w:val="28"/>
      <w:szCs w:val="28"/>
      <w:lang w:eastAsia="en-US"/>
    </w:rPr>
  </w:style>
  <w:style w:type="character" w:customStyle="1" w:styleId="Heading2Char">
    <w:name w:val="Heading 2 Char"/>
    <w:basedOn w:val="DefaultParagraphFont"/>
    <w:link w:val="Heading2"/>
    <w:uiPriority w:val="99"/>
    <w:rsid w:val="00FE2588"/>
    <w:rPr>
      <w:rFonts w:ascii="Arial" w:eastAsia="Times New Roman" w:hAnsi="Arial"/>
      <w:b/>
      <w:bCs/>
      <w:sz w:val="24"/>
      <w:szCs w:val="26"/>
      <w:lang w:eastAsia="en-US"/>
    </w:rPr>
  </w:style>
  <w:style w:type="character" w:customStyle="1" w:styleId="Heading3Char">
    <w:name w:val="Heading 3 Char"/>
    <w:basedOn w:val="DefaultParagraphFont"/>
    <w:link w:val="Heading3"/>
    <w:uiPriority w:val="99"/>
    <w:rsid w:val="00FE2588"/>
    <w:rPr>
      <w:rFonts w:ascii="Arial" w:eastAsia="Times New Roman" w:hAnsi="Arial"/>
      <w:b/>
      <w:bCs/>
      <w:szCs w:val="22"/>
      <w:lang w:eastAsia="en-US"/>
    </w:rPr>
  </w:style>
  <w:style w:type="character" w:customStyle="1" w:styleId="Heading4Char">
    <w:name w:val="Heading 4 Char"/>
    <w:basedOn w:val="DefaultParagraphFont"/>
    <w:link w:val="Heading4"/>
    <w:uiPriority w:val="9"/>
    <w:rsid w:val="003E2CD8"/>
    <w:rPr>
      <w:rFonts w:ascii="Cambria" w:eastAsia="Times New Roman" w:hAnsi="Cambria"/>
      <w:b/>
      <w:bCs/>
      <w:i/>
      <w:iCs/>
      <w:color w:val="4F81BD"/>
      <w:sz w:val="22"/>
      <w:szCs w:val="22"/>
      <w:lang w:eastAsia="en-US"/>
    </w:rPr>
  </w:style>
  <w:style w:type="character" w:customStyle="1" w:styleId="Heading5Char">
    <w:name w:val="Heading 5 Char"/>
    <w:basedOn w:val="DefaultParagraphFont"/>
    <w:link w:val="Heading5"/>
    <w:uiPriority w:val="9"/>
    <w:rsid w:val="003E2CD8"/>
    <w:rPr>
      <w:rFonts w:ascii="Cambria" w:eastAsia="Times New Roman" w:hAnsi="Cambria"/>
      <w:color w:val="243F60"/>
      <w:sz w:val="22"/>
      <w:szCs w:val="22"/>
      <w:lang w:eastAsia="en-US"/>
    </w:rPr>
  </w:style>
  <w:style w:type="character" w:customStyle="1" w:styleId="Heading6Char">
    <w:name w:val="Heading 6 Char"/>
    <w:basedOn w:val="DefaultParagraphFont"/>
    <w:link w:val="Heading6"/>
    <w:uiPriority w:val="9"/>
    <w:rsid w:val="003E2CD8"/>
    <w:rPr>
      <w:rFonts w:ascii="Cambria" w:eastAsia="Times New Roman" w:hAnsi="Cambria"/>
      <w:i/>
      <w:iCs/>
      <w:color w:val="243F60"/>
      <w:sz w:val="22"/>
      <w:szCs w:val="22"/>
      <w:lang w:eastAsia="en-US"/>
    </w:rPr>
  </w:style>
  <w:style w:type="character" w:customStyle="1" w:styleId="Heading7Char">
    <w:name w:val="Heading 7 Char"/>
    <w:basedOn w:val="DefaultParagraphFont"/>
    <w:link w:val="Heading7"/>
    <w:uiPriority w:val="9"/>
    <w:rsid w:val="003E2CD8"/>
    <w:rPr>
      <w:rFonts w:ascii="Cambria" w:eastAsia="Times New Roman" w:hAnsi="Cambria"/>
      <w:i/>
      <w:iCs/>
      <w:color w:val="404040"/>
      <w:sz w:val="22"/>
      <w:szCs w:val="22"/>
      <w:lang w:eastAsia="en-US"/>
    </w:rPr>
  </w:style>
  <w:style w:type="character" w:customStyle="1" w:styleId="Heading8Char">
    <w:name w:val="Heading 8 Char"/>
    <w:basedOn w:val="DefaultParagraphFont"/>
    <w:link w:val="Heading8"/>
    <w:uiPriority w:val="9"/>
    <w:semiHidden/>
    <w:rsid w:val="003E2CD8"/>
    <w:rPr>
      <w:rFonts w:ascii="Cambria" w:eastAsia="Times New Roman" w:hAnsi="Cambria"/>
      <w:color w:val="404040"/>
      <w:lang w:eastAsia="en-US"/>
    </w:rPr>
  </w:style>
  <w:style w:type="character" w:customStyle="1" w:styleId="Heading9Char">
    <w:name w:val="Heading 9 Char"/>
    <w:basedOn w:val="DefaultParagraphFont"/>
    <w:link w:val="Heading9"/>
    <w:uiPriority w:val="9"/>
    <w:semiHidden/>
    <w:rsid w:val="003E2CD8"/>
    <w:rPr>
      <w:rFonts w:ascii="Cambria" w:eastAsia="Times New Roman" w:hAnsi="Cambria"/>
      <w:i/>
      <w:iCs/>
      <w:color w:val="404040"/>
      <w:lang w:eastAsia="en-US"/>
    </w:rPr>
  </w:style>
  <w:style w:type="paragraph" w:styleId="NoSpacing">
    <w:name w:val="No Spacing"/>
    <w:link w:val="NoSpacingChar"/>
    <w:uiPriority w:val="1"/>
    <w:qFormat/>
    <w:rsid w:val="003E2CD8"/>
    <w:rPr>
      <w:sz w:val="22"/>
      <w:szCs w:val="22"/>
      <w:lang w:val="en-US" w:eastAsia="en-US"/>
    </w:rPr>
  </w:style>
  <w:style w:type="character" w:customStyle="1" w:styleId="NoSpacingChar">
    <w:name w:val="No Spacing Char"/>
    <w:basedOn w:val="DefaultParagraphFont"/>
    <w:link w:val="NoSpacing"/>
    <w:uiPriority w:val="1"/>
    <w:rsid w:val="008327D3"/>
    <w:rPr>
      <w:sz w:val="22"/>
      <w:szCs w:val="22"/>
      <w:lang w:val="en-US" w:eastAsia="en-US"/>
    </w:rPr>
  </w:style>
  <w:style w:type="paragraph" w:styleId="BalloonText">
    <w:name w:val="Balloon Text"/>
    <w:basedOn w:val="Normal"/>
    <w:link w:val="BalloonTextChar"/>
    <w:uiPriority w:val="99"/>
    <w:semiHidden/>
    <w:unhideWhenUsed/>
    <w:rsid w:val="003E2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CD8"/>
    <w:rPr>
      <w:rFonts w:ascii="Tahoma" w:hAnsi="Tahoma" w:cs="Tahoma"/>
      <w:sz w:val="16"/>
      <w:szCs w:val="16"/>
    </w:rPr>
  </w:style>
  <w:style w:type="paragraph" w:styleId="TOCHeading">
    <w:name w:val="TOC Heading"/>
    <w:basedOn w:val="Heading1"/>
    <w:next w:val="Normal"/>
    <w:uiPriority w:val="39"/>
    <w:unhideWhenUsed/>
    <w:qFormat/>
    <w:rsid w:val="003E2CD8"/>
    <w:pPr>
      <w:outlineLvl w:val="9"/>
    </w:pPr>
    <w:rPr>
      <w:lang w:val="en-US"/>
    </w:rPr>
  </w:style>
  <w:style w:type="paragraph" w:styleId="TOC1">
    <w:name w:val="toc 1"/>
    <w:basedOn w:val="Normal"/>
    <w:next w:val="Normal"/>
    <w:autoRedefine/>
    <w:uiPriority w:val="39"/>
    <w:unhideWhenUsed/>
    <w:rsid w:val="003E2CD8"/>
    <w:pPr>
      <w:spacing w:after="100"/>
    </w:pPr>
  </w:style>
  <w:style w:type="character" w:styleId="Hyperlink">
    <w:name w:val="Hyperlink"/>
    <w:basedOn w:val="DefaultParagraphFont"/>
    <w:uiPriority w:val="99"/>
    <w:unhideWhenUsed/>
    <w:rsid w:val="003E2CD8"/>
    <w:rPr>
      <w:color w:val="0000FF"/>
      <w:u w:val="single"/>
    </w:rPr>
  </w:style>
  <w:style w:type="paragraph" w:styleId="TOC2">
    <w:name w:val="toc 2"/>
    <w:basedOn w:val="Normal"/>
    <w:next w:val="Normal"/>
    <w:autoRedefine/>
    <w:uiPriority w:val="39"/>
    <w:unhideWhenUsed/>
    <w:rsid w:val="0008758C"/>
    <w:pPr>
      <w:tabs>
        <w:tab w:val="left" w:pos="880"/>
        <w:tab w:val="right" w:leader="dot" w:pos="9016"/>
      </w:tabs>
      <w:spacing w:after="100" w:line="240" w:lineRule="auto"/>
      <w:ind w:left="450" w:hanging="230"/>
    </w:pPr>
  </w:style>
  <w:style w:type="paragraph" w:styleId="TOC3">
    <w:name w:val="toc 3"/>
    <w:basedOn w:val="Normal"/>
    <w:next w:val="Normal"/>
    <w:autoRedefine/>
    <w:uiPriority w:val="39"/>
    <w:unhideWhenUsed/>
    <w:rsid w:val="000A43DB"/>
    <w:pPr>
      <w:tabs>
        <w:tab w:val="left" w:pos="1320"/>
        <w:tab w:val="right" w:leader="dot" w:pos="9017"/>
      </w:tabs>
      <w:spacing w:after="100"/>
      <w:ind w:left="450"/>
    </w:pPr>
  </w:style>
  <w:style w:type="paragraph" w:styleId="ListParagraph">
    <w:name w:val="List Paragraph"/>
    <w:basedOn w:val="Normal"/>
    <w:uiPriority w:val="99"/>
    <w:qFormat/>
    <w:rsid w:val="00E221A5"/>
    <w:pPr>
      <w:ind w:left="720"/>
      <w:contextualSpacing/>
    </w:pPr>
  </w:style>
  <w:style w:type="paragraph" w:styleId="Header">
    <w:name w:val="header"/>
    <w:basedOn w:val="Normal"/>
    <w:link w:val="HeaderChar"/>
    <w:uiPriority w:val="99"/>
    <w:unhideWhenUsed/>
    <w:rsid w:val="00A40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619"/>
    <w:rPr>
      <w:lang w:val="en-GB"/>
    </w:rPr>
  </w:style>
  <w:style w:type="paragraph" w:styleId="Footer">
    <w:name w:val="footer"/>
    <w:basedOn w:val="Normal"/>
    <w:link w:val="FooterChar"/>
    <w:uiPriority w:val="99"/>
    <w:unhideWhenUsed/>
    <w:rsid w:val="00A40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619"/>
    <w:rPr>
      <w:lang w:val="en-GB"/>
    </w:rPr>
  </w:style>
  <w:style w:type="paragraph" w:customStyle="1" w:styleId="BasicParagraph">
    <w:name w:val="[Basic Paragraph]"/>
    <w:basedOn w:val="Normal"/>
    <w:uiPriority w:val="99"/>
    <w:rsid w:val="00931493"/>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BodyText">
    <w:name w:val="Body Text"/>
    <w:aliases w:val="bt,body text,Body Text x,jfp_standard,Body text for papers,heading3,Body Text - Level 2,block,ijk,text,Body Text Char1,Body Text Char Char Char,Body Text Char Char Char Char Char Char,Body Text Char Char Char Char Char,contents"/>
    <w:basedOn w:val="Normal"/>
    <w:link w:val="BodyTextChar2"/>
    <w:uiPriority w:val="99"/>
    <w:semiHidden/>
    <w:rsid w:val="008327D3"/>
    <w:pPr>
      <w:spacing w:after="240" w:line="240" w:lineRule="auto"/>
    </w:pPr>
    <w:rPr>
      <w:rFonts w:ascii="Times New Roman" w:eastAsia="Times New Roman" w:hAnsi="Times New Roman"/>
      <w:szCs w:val="24"/>
    </w:rPr>
  </w:style>
  <w:style w:type="character" w:customStyle="1" w:styleId="BodyTextChar2">
    <w:name w:val="Body Text Char2"/>
    <w:aliases w:val="bt Char,body text Char,Body Text x Char,jfp_standard Char,Body text for papers Char,heading3 Char,Body Text - Level 2 Char,block Char,ijk Char,text Char,Body Text Char1 Char,Body Text Char Char Char Char,contents Char"/>
    <w:link w:val="BodyText"/>
    <w:uiPriority w:val="99"/>
    <w:semiHidden/>
    <w:locked/>
    <w:rsid w:val="008327D3"/>
    <w:rPr>
      <w:rFonts w:ascii="Times New Roman" w:eastAsia="Times New Roman" w:hAnsi="Times New Roman"/>
      <w:sz w:val="22"/>
      <w:szCs w:val="24"/>
      <w:lang w:eastAsia="en-US"/>
    </w:rPr>
  </w:style>
  <w:style w:type="character" w:customStyle="1" w:styleId="BodyTextChar">
    <w:name w:val="Body Text Char"/>
    <w:basedOn w:val="DefaultParagraphFont"/>
    <w:uiPriority w:val="99"/>
    <w:semiHidden/>
    <w:rsid w:val="008327D3"/>
    <w:rPr>
      <w:sz w:val="22"/>
      <w:szCs w:val="22"/>
      <w:lang w:eastAsia="en-US"/>
    </w:rPr>
  </w:style>
  <w:style w:type="paragraph" w:styleId="Caption">
    <w:name w:val="caption"/>
    <w:basedOn w:val="Normal"/>
    <w:next w:val="Normal"/>
    <w:uiPriority w:val="99"/>
    <w:qFormat/>
    <w:rsid w:val="008327D3"/>
    <w:pPr>
      <w:spacing w:before="120" w:after="120" w:line="240" w:lineRule="auto"/>
    </w:pPr>
    <w:rPr>
      <w:rFonts w:ascii="Times New Roman" w:eastAsia="Times New Roman" w:hAnsi="Times New Roman"/>
      <w:b/>
      <w:bCs/>
      <w:szCs w:val="20"/>
    </w:rPr>
  </w:style>
  <w:style w:type="character" w:styleId="Emphasis">
    <w:name w:val="Emphasis"/>
    <w:uiPriority w:val="99"/>
    <w:qFormat/>
    <w:rsid w:val="008327D3"/>
    <w:rPr>
      <w:rFonts w:cs="Times New Roman"/>
      <w:i/>
    </w:rPr>
  </w:style>
  <w:style w:type="character" w:customStyle="1" w:styleId="apple-style-span">
    <w:name w:val="apple-style-span"/>
    <w:uiPriority w:val="99"/>
    <w:rsid w:val="008327D3"/>
    <w:rPr>
      <w:rFonts w:cs="Times New Roman"/>
    </w:rPr>
  </w:style>
  <w:style w:type="character" w:styleId="Strong">
    <w:name w:val="Strong"/>
    <w:basedOn w:val="DefaultParagraphFont"/>
    <w:uiPriority w:val="22"/>
    <w:qFormat/>
    <w:rsid w:val="008327D3"/>
    <w:rPr>
      <w:b/>
      <w:bCs/>
    </w:rPr>
  </w:style>
  <w:style w:type="character" w:customStyle="1" w:styleId="apple-converted-space">
    <w:name w:val="apple-converted-space"/>
    <w:basedOn w:val="DefaultParagraphFont"/>
    <w:uiPriority w:val="99"/>
    <w:rsid w:val="008327D3"/>
  </w:style>
  <w:style w:type="paragraph" w:customStyle="1" w:styleId="CMSHeadL3">
    <w:name w:val="CMS Head L3"/>
    <w:basedOn w:val="Normal"/>
    <w:uiPriority w:val="99"/>
    <w:rsid w:val="008327D3"/>
    <w:pPr>
      <w:numPr>
        <w:ilvl w:val="2"/>
        <w:numId w:val="3"/>
      </w:numPr>
      <w:tabs>
        <w:tab w:val="num" w:pos="851"/>
      </w:tabs>
      <w:spacing w:after="240" w:line="240" w:lineRule="auto"/>
      <w:ind w:left="851" w:hanging="851"/>
      <w:outlineLvl w:val="2"/>
    </w:pPr>
    <w:rPr>
      <w:rFonts w:ascii="Times New Roman" w:eastAsia="Times New Roman" w:hAnsi="Times New Roman"/>
      <w:szCs w:val="24"/>
    </w:rPr>
  </w:style>
  <w:style w:type="paragraph" w:customStyle="1" w:styleId="CMSHeadL4">
    <w:name w:val="CMS Head L4"/>
    <w:basedOn w:val="Normal"/>
    <w:uiPriority w:val="99"/>
    <w:rsid w:val="008327D3"/>
    <w:pPr>
      <w:numPr>
        <w:ilvl w:val="3"/>
        <w:numId w:val="3"/>
      </w:numPr>
      <w:tabs>
        <w:tab w:val="num" w:pos="1702"/>
      </w:tabs>
      <w:spacing w:after="240" w:line="240" w:lineRule="auto"/>
      <w:ind w:left="1702" w:hanging="851"/>
      <w:outlineLvl w:val="3"/>
    </w:pPr>
    <w:rPr>
      <w:rFonts w:ascii="Times New Roman" w:eastAsia="Times New Roman" w:hAnsi="Times New Roman"/>
      <w:szCs w:val="24"/>
    </w:rPr>
  </w:style>
  <w:style w:type="paragraph" w:customStyle="1" w:styleId="CMSHeadL5">
    <w:name w:val="CMS Head L5"/>
    <w:basedOn w:val="Normal"/>
    <w:uiPriority w:val="99"/>
    <w:rsid w:val="008327D3"/>
    <w:pPr>
      <w:numPr>
        <w:ilvl w:val="4"/>
        <w:numId w:val="3"/>
      </w:numPr>
      <w:tabs>
        <w:tab w:val="num" w:pos="2552"/>
      </w:tabs>
      <w:spacing w:after="240" w:line="240" w:lineRule="auto"/>
      <w:ind w:left="2552" w:hanging="851"/>
      <w:outlineLvl w:val="4"/>
    </w:pPr>
    <w:rPr>
      <w:rFonts w:ascii="Times New Roman" w:eastAsia="Times New Roman" w:hAnsi="Times New Roman"/>
      <w:szCs w:val="24"/>
    </w:rPr>
  </w:style>
  <w:style w:type="paragraph" w:customStyle="1" w:styleId="CMSHeadL2">
    <w:name w:val="CMS Head L2"/>
    <w:basedOn w:val="Normal"/>
    <w:next w:val="CMSHeadL3"/>
    <w:uiPriority w:val="99"/>
    <w:rsid w:val="008327D3"/>
    <w:pPr>
      <w:keepNext/>
      <w:keepLines/>
      <w:numPr>
        <w:ilvl w:val="1"/>
        <w:numId w:val="3"/>
      </w:numPr>
      <w:tabs>
        <w:tab w:val="num" w:pos="851"/>
      </w:tabs>
      <w:spacing w:before="240" w:after="240" w:line="240" w:lineRule="auto"/>
      <w:ind w:left="851" w:hanging="851"/>
      <w:outlineLvl w:val="1"/>
    </w:pPr>
    <w:rPr>
      <w:rFonts w:ascii="Times New Roman" w:eastAsia="Times New Roman" w:hAnsi="Times New Roman"/>
      <w:b/>
      <w:szCs w:val="24"/>
    </w:rPr>
  </w:style>
  <w:style w:type="table" w:styleId="TableGrid">
    <w:name w:val="Table Grid"/>
    <w:basedOn w:val="TableNormal"/>
    <w:uiPriority w:val="59"/>
    <w:rsid w:val="008327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winstr">
    <w:name w:val="showinstr"/>
    <w:basedOn w:val="DefaultParagraphFont"/>
    <w:rsid w:val="008327D3"/>
  </w:style>
  <w:style w:type="character" w:customStyle="1" w:styleId="subparatext">
    <w:name w:val="subparatext"/>
    <w:basedOn w:val="DefaultParagraphFont"/>
    <w:uiPriority w:val="99"/>
    <w:rsid w:val="008327D3"/>
  </w:style>
  <w:style w:type="character" w:customStyle="1" w:styleId="highlight">
    <w:name w:val="highlight"/>
    <w:basedOn w:val="DefaultParagraphFont"/>
    <w:rsid w:val="008327D3"/>
  </w:style>
  <w:style w:type="paragraph" w:customStyle="1" w:styleId="Default">
    <w:name w:val="Default"/>
    <w:rsid w:val="008327D3"/>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uiPriority w:val="99"/>
    <w:semiHidden/>
    <w:unhideWhenUsed/>
    <w:rsid w:val="0089240D"/>
    <w:rPr>
      <w:sz w:val="16"/>
      <w:szCs w:val="16"/>
    </w:rPr>
  </w:style>
  <w:style w:type="paragraph" w:styleId="CommentText">
    <w:name w:val="annotation text"/>
    <w:basedOn w:val="Normal"/>
    <w:link w:val="CommentTextChar"/>
    <w:uiPriority w:val="99"/>
    <w:semiHidden/>
    <w:unhideWhenUsed/>
    <w:rsid w:val="0089240D"/>
    <w:pPr>
      <w:spacing w:line="240" w:lineRule="auto"/>
    </w:pPr>
    <w:rPr>
      <w:sz w:val="20"/>
      <w:szCs w:val="20"/>
    </w:rPr>
  </w:style>
  <w:style w:type="character" w:customStyle="1" w:styleId="CommentTextChar">
    <w:name w:val="Comment Text Char"/>
    <w:basedOn w:val="DefaultParagraphFont"/>
    <w:link w:val="CommentText"/>
    <w:uiPriority w:val="99"/>
    <w:semiHidden/>
    <w:rsid w:val="0089240D"/>
    <w:rPr>
      <w:lang w:eastAsia="en-US"/>
    </w:rPr>
  </w:style>
  <w:style w:type="paragraph" w:styleId="CommentSubject">
    <w:name w:val="annotation subject"/>
    <w:basedOn w:val="CommentText"/>
    <w:next w:val="CommentText"/>
    <w:link w:val="CommentSubjectChar"/>
    <w:uiPriority w:val="99"/>
    <w:semiHidden/>
    <w:unhideWhenUsed/>
    <w:rsid w:val="0089240D"/>
    <w:rPr>
      <w:b/>
      <w:bCs/>
    </w:rPr>
  </w:style>
  <w:style w:type="character" w:customStyle="1" w:styleId="CommentSubjectChar">
    <w:name w:val="Comment Subject Char"/>
    <w:basedOn w:val="CommentTextChar"/>
    <w:link w:val="CommentSubject"/>
    <w:uiPriority w:val="99"/>
    <w:semiHidden/>
    <w:rsid w:val="0089240D"/>
    <w:rPr>
      <w:b/>
      <w:bCs/>
      <w:lang w:eastAsia="en-US"/>
    </w:rPr>
  </w:style>
  <w:style w:type="character" w:customStyle="1" w:styleId="UnresolvedMention1">
    <w:name w:val="Unresolved Mention1"/>
    <w:basedOn w:val="DefaultParagraphFont"/>
    <w:uiPriority w:val="99"/>
    <w:semiHidden/>
    <w:unhideWhenUsed/>
    <w:rsid w:val="00806258"/>
    <w:rPr>
      <w:color w:val="808080"/>
      <w:shd w:val="clear" w:color="auto" w:fill="E6E6E6"/>
    </w:rPr>
  </w:style>
  <w:style w:type="paragraph" w:styleId="TOC4">
    <w:name w:val="toc 4"/>
    <w:basedOn w:val="Normal"/>
    <w:next w:val="Normal"/>
    <w:autoRedefine/>
    <w:uiPriority w:val="39"/>
    <w:unhideWhenUsed/>
    <w:rsid w:val="00806258"/>
    <w:pPr>
      <w:spacing w:after="100" w:line="259"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806258"/>
    <w:pPr>
      <w:spacing w:after="100" w:line="259"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806258"/>
    <w:pPr>
      <w:spacing w:after="100" w:line="259"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806258"/>
    <w:pPr>
      <w:spacing w:after="100" w:line="259"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806258"/>
    <w:pPr>
      <w:spacing w:after="100" w:line="259"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806258"/>
    <w:pPr>
      <w:spacing w:after="100" w:line="259" w:lineRule="auto"/>
      <w:ind w:left="1760"/>
    </w:pPr>
    <w:rPr>
      <w:rFonts w:asciiTheme="minorHAnsi" w:eastAsiaTheme="minorEastAsia" w:hAnsiTheme="minorHAnsi"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9446">
      <w:bodyDiv w:val="1"/>
      <w:marLeft w:val="0"/>
      <w:marRight w:val="0"/>
      <w:marTop w:val="0"/>
      <w:marBottom w:val="0"/>
      <w:divBdr>
        <w:top w:val="none" w:sz="0" w:space="0" w:color="auto"/>
        <w:left w:val="none" w:sz="0" w:space="0" w:color="auto"/>
        <w:bottom w:val="none" w:sz="0" w:space="0" w:color="auto"/>
        <w:right w:val="none" w:sz="0" w:space="0" w:color="auto"/>
      </w:divBdr>
    </w:div>
    <w:div w:id="109065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info@consumercreditcompliance.co.uk</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61D28AFC45CD4F8086503BD8F5E16F" ma:contentTypeVersion="10" ma:contentTypeDescription="Create a new document." ma:contentTypeScope="" ma:versionID="7fef478a9b15e5b1db90372b866da5fa">
  <xsd:schema xmlns:xsd="http://www.w3.org/2001/XMLSchema" xmlns:xs="http://www.w3.org/2001/XMLSchema" xmlns:p="http://schemas.microsoft.com/office/2006/metadata/properties" xmlns:ns2="f0847195-5b07-49e4-9c38-9cfacf5b1db9" xmlns:ns3="27e4fad3-ab7c-441b-83b0-dcfb9fc1d4df" targetNamespace="http://schemas.microsoft.com/office/2006/metadata/properties" ma:root="true" ma:fieldsID="0dcca26176df6f7fa0f5ca1c2187943f" ns2:_="" ns3:_="">
    <xsd:import namespace="f0847195-5b07-49e4-9c38-9cfacf5b1db9"/>
    <xsd:import namespace="27e4fad3-ab7c-441b-83b0-dcfb9fc1d4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47195-5b07-49e4-9c38-9cfacf5b1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e4fad3-ab7c-441b-83b0-dcfb9fc1d4d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E4D35F-CBA6-4E40-B9E9-FFD6EB751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47195-5b07-49e4-9c38-9cfacf5b1db9"/>
    <ds:schemaRef ds:uri="27e4fad3-ab7c-441b-83b0-dcfb9fc1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921A1C-37E6-4AC6-A8B6-6D2439ADDF35}">
  <ds:schemaRefs>
    <ds:schemaRef ds:uri="http://schemas.microsoft.com/sharepoint/v3/contenttype/forms"/>
  </ds:schemaRefs>
</ds:datastoreItem>
</file>

<file path=customXml/itemProps4.xml><?xml version="1.0" encoding="utf-8"?>
<ds:datastoreItem xmlns:ds="http://schemas.openxmlformats.org/officeDocument/2006/customXml" ds:itemID="{6897C367-70D5-435C-BC09-CACEB26BE16B}">
  <ds:schemaRefs>
    <ds:schemaRef ds:uri="http://schemas.openxmlformats.org/officeDocument/2006/bibliography"/>
  </ds:schemaRefs>
</ds:datastoreItem>
</file>

<file path=customXml/itemProps5.xml><?xml version="1.0" encoding="utf-8"?>
<ds:datastoreItem xmlns:ds="http://schemas.openxmlformats.org/officeDocument/2006/customXml" ds:itemID="{5362406E-95B3-4996-B463-92DCFB889E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Appointed Representative Agreement</vt:lpstr>
    </vt:vector>
  </TitlesOfParts>
  <Company/>
  <LinksUpToDate>false</LinksUpToDate>
  <CharactersWithSpaces>5884</CharactersWithSpaces>
  <SharedDoc>false</SharedDoc>
  <HLinks>
    <vt:vector size="222" baseType="variant">
      <vt:variant>
        <vt:i4>1769521</vt:i4>
      </vt:variant>
      <vt:variant>
        <vt:i4>218</vt:i4>
      </vt:variant>
      <vt:variant>
        <vt:i4>0</vt:i4>
      </vt:variant>
      <vt:variant>
        <vt:i4>5</vt:i4>
      </vt:variant>
      <vt:variant>
        <vt:lpwstr/>
      </vt:variant>
      <vt:variant>
        <vt:lpwstr>_Toc415658538</vt:lpwstr>
      </vt:variant>
      <vt:variant>
        <vt:i4>1769521</vt:i4>
      </vt:variant>
      <vt:variant>
        <vt:i4>212</vt:i4>
      </vt:variant>
      <vt:variant>
        <vt:i4>0</vt:i4>
      </vt:variant>
      <vt:variant>
        <vt:i4>5</vt:i4>
      </vt:variant>
      <vt:variant>
        <vt:lpwstr/>
      </vt:variant>
      <vt:variant>
        <vt:lpwstr>_Toc415658537</vt:lpwstr>
      </vt:variant>
      <vt:variant>
        <vt:i4>1769521</vt:i4>
      </vt:variant>
      <vt:variant>
        <vt:i4>206</vt:i4>
      </vt:variant>
      <vt:variant>
        <vt:i4>0</vt:i4>
      </vt:variant>
      <vt:variant>
        <vt:i4>5</vt:i4>
      </vt:variant>
      <vt:variant>
        <vt:lpwstr/>
      </vt:variant>
      <vt:variant>
        <vt:lpwstr>_Toc415658536</vt:lpwstr>
      </vt:variant>
      <vt:variant>
        <vt:i4>1769521</vt:i4>
      </vt:variant>
      <vt:variant>
        <vt:i4>200</vt:i4>
      </vt:variant>
      <vt:variant>
        <vt:i4>0</vt:i4>
      </vt:variant>
      <vt:variant>
        <vt:i4>5</vt:i4>
      </vt:variant>
      <vt:variant>
        <vt:lpwstr/>
      </vt:variant>
      <vt:variant>
        <vt:lpwstr>_Toc415658535</vt:lpwstr>
      </vt:variant>
      <vt:variant>
        <vt:i4>1769521</vt:i4>
      </vt:variant>
      <vt:variant>
        <vt:i4>194</vt:i4>
      </vt:variant>
      <vt:variant>
        <vt:i4>0</vt:i4>
      </vt:variant>
      <vt:variant>
        <vt:i4>5</vt:i4>
      </vt:variant>
      <vt:variant>
        <vt:lpwstr/>
      </vt:variant>
      <vt:variant>
        <vt:lpwstr>_Toc415658534</vt:lpwstr>
      </vt:variant>
      <vt:variant>
        <vt:i4>1769521</vt:i4>
      </vt:variant>
      <vt:variant>
        <vt:i4>188</vt:i4>
      </vt:variant>
      <vt:variant>
        <vt:i4>0</vt:i4>
      </vt:variant>
      <vt:variant>
        <vt:i4>5</vt:i4>
      </vt:variant>
      <vt:variant>
        <vt:lpwstr/>
      </vt:variant>
      <vt:variant>
        <vt:lpwstr>_Toc415658533</vt:lpwstr>
      </vt:variant>
      <vt:variant>
        <vt:i4>1769521</vt:i4>
      </vt:variant>
      <vt:variant>
        <vt:i4>182</vt:i4>
      </vt:variant>
      <vt:variant>
        <vt:i4>0</vt:i4>
      </vt:variant>
      <vt:variant>
        <vt:i4>5</vt:i4>
      </vt:variant>
      <vt:variant>
        <vt:lpwstr/>
      </vt:variant>
      <vt:variant>
        <vt:lpwstr>_Toc415658532</vt:lpwstr>
      </vt:variant>
      <vt:variant>
        <vt:i4>1769521</vt:i4>
      </vt:variant>
      <vt:variant>
        <vt:i4>176</vt:i4>
      </vt:variant>
      <vt:variant>
        <vt:i4>0</vt:i4>
      </vt:variant>
      <vt:variant>
        <vt:i4>5</vt:i4>
      </vt:variant>
      <vt:variant>
        <vt:lpwstr/>
      </vt:variant>
      <vt:variant>
        <vt:lpwstr>_Toc415658531</vt:lpwstr>
      </vt:variant>
      <vt:variant>
        <vt:i4>1769521</vt:i4>
      </vt:variant>
      <vt:variant>
        <vt:i4>170</vt:i4>
      </vt:variant>
      <vt:variant>
        <vt:i4>0</vt:i4>
      </vt:variant>
      <vt:variant>
        <vt:i4>5</vt:i4>
      </vt:variant>
      <vt:variant>
        <vt:lpwstr/>
      </vt:variant>
      <vt:variant>
        <vt:lpwstr>_Toc415658530</vt:lpwstr>
      </vt:variant>
      <vt:variant>
        <vt:i4>1703985</vt:i4>
      </vt:variant>
      <vt:variant>
        <vt:i4>164</vt:i4>
      </vt:variant>
      <vt:variant>
        <vt:i4>0</vt:i4>
      </vt:variant>
      <vt:variant>
        <vt:i4>5</vt:i4>
      </vt:variant>
      <vt:variant>
        <vt:lpwstr/>
      </vt:variant>
      <vt:variant>
        <vt:lpwstr>_Toc415658529</vt:lpwstr>
      </vt:variant>
      <vt:variant>
        <vt:i4>1703985</vt:i4>
      </vt:variant>
      <vt:variant>
        <vt:i4>158</vt:i4>
      </vt:variant>
      <vt:variant>
        <vt:i4>0</vt:i4>
      </vt:variant>
      <vt:variant>
        <vt:i4>5</vt:i4>
      </vt:variant>
      <vt:variant>
        <vt:lpwstr/>
      </vt:variant>
      <vt:variant>
        <vt:lpwstr>_Toc415658528</vt:lpwstr>
      </vt:variant>
      <vt:variant>
        <vt:i4>1703985</vt:i4>
      </vt:variant>
      <vt:variant>
        <vt:i4>152</vt:i4>
      </vt:variant>
      <vt:variant>
        <vt:i4>0</vt:i4>
      </vt:variant>
      <vt:variant>
        <vt:i4>5</vt:i4>
      </vt:variant>
      <vt:variant>
        <vt:lpwstr/>
      </vt:variant>
      <vt:variant>
        <vt:lpwstr>_Toc415658527</vt:lpwstr>
      </vt:variant>
      <vt:variant>
        <vt:i4>1703985</vt:i4>
      </vt:variant>
      <vt:variant>
        <vt:i4>146</vt:i4>
      </vt:variant>
      <vt:variant>
        <vt:i4>0</vt:i4>
      </vt:variant>
      <vt:variant>
        <vt:i4>5</vt:i4>
      </vt:variant>
      <vt:variant>
        <vt:lpwstr/>
      </vt:variant>
      <vt:variant>
        <vt:lpwstr>_Toc415658526</vt:lpwstr>
      </vt:variant>
      <vt:variant>
        <vt:i4>1703985</vt:i4>
      </vt:variant>
      <vt:variant>
        <vt:i4>140</vt:i4>
      </vt:variant>
      <vt:variant>
        <vt:i4>0</vt:i4>
      </vt:variant>
      <vt:variant>
        <vt:i4>5</vt:i4>
      </vt:variant>
      <vt:variant>
        <vt:lpwstr/>
      </vt:variant>
      <vt:variant>
        <vt:lpwstr>_Toc415658525</vt:lpwstr>
      </vt:variant>
      <vt:variant>
        <vt:i4>1703985</vt:i4>
      </vt:variant>
      <vt:variant>
        <vt:i4>134</vt:i4>
      </vt:variant>
      <vt:variant>
        <vt:i4>0</vt:i4>
      </vt:variant>
      <vt:variant>
        <vt:i4>5</vt:i4>
      </vt:variant>
      <vt:variant>
        <vt:lpwstr/>
      </vt:variant>
      <vt:variant>
        <vt:lpwstr>_Toc415658524</vt:lpwstr>
      </vt:variant>
      <vt:variant>
        <vt:i4>1703985</vt:i4>
      </vt:variant>
      <vt:variant>
        <vt:i4>128</vt:i4>
      </vt:variant>
      <vt:variant>
        <vt:i4>0</vt:i4>
      </vt:variant>
      <vt:variant>
        <vt:i4>5</vt:i4>
      </vt:variant>
      <vt:variant>
        <vt:lpwstr/>
      </vt:variant>
      <vt:variant>
        <vt:lpwstr>_Toc415658523</vt:lpwstr>
      </vt:variant>
      <vt:variant>
        <vt:i4>1703985</vt:i4>
      </vt:variant>
      <vt:variant>
        <vt:i4>122</vt:i4>
      </vt:variant>
      <vt:variant>
        <vt:i4>0</vt:i4>
      </vt:variant>
      <vt:variant>
        <vt:i4>5</vt:i4>
      </vt:variant>
      <vt:variant>
        <vt:lpwstr/>
      </vt:variant>
      <vt:variant>
        <vt:lpwstr>_Toc415658522</vt:lpwstr>
      </vt:variant>
      <vt:variant>
        <vt:i4>1703985</vt:i4>
      </vt:variant>
      <vt:variant>
        <vt:i4>116</vt:i4>
      </vt:variant>
      <vt:variant>
        <vt:i4>0</vt:i4>
      </vt:variant>
      <vt:variant>
        <vt:i4>5</vt:i4>
      </vt:variant>
      <vt:variant>
        <vt:lpwstr/>
      </vt:variant>
      <vt:variant>
        <vt:lpwstr>_Toc415658521</vt:lpwstr>
      </vt:variant>
      <vt:variant>
        <vt:i4>1703985</vt:i4>
      </vt:variant>
      <vt:variant>
        <vt:i4>110</vt:i4>
      </vt:variant>
      <vt:variant>
        <vt:i4>0</vt:i4>
      </vt:variant>
      <vt:variant>
        <vt:i4>5</vt:i4>
      </vt:variant>
      <vt:variant>
        <vt:lpwstr/>
      </vt:variant>
      <vt:variant>
        <vt:lpwstr>_Toc415658520</vt:lpwstr>
      </vt:variant>
      <vt:variant>
        <vt:i4>1638449</vt:i4>
      </vt:variant>
      <vt:variant>
        <vt:i4>104</vt:i4>
      </vt:variant>
      <vt:variant>
        <vt:i4>0</vt:i4>
      </vt:variant>
      <vt:variant>
        <vt:i4>5</vt:i4>
      </vt:variant>
      <vt:variant>
        <vt:lpwstr/>
      </vt:variant>
      <vt:variant>
        <vt:lpwstr>_Toc415658519</vt:lpwstr>
      </vt:variant>
      <vt:variant>
        <vt:i4>1638449</vt:i4>
      </vt:variant>
      <vt:variant>
        <vt:i4>98</vt:i4>
      </vt:variant>
      <vt:variant>
        <vt:i4>0</vt:i4>
      </vt:variant>
      <vt:variant>
        <vt:i4>5</vt:i4>
      </vt:variant>
      <vt:variant>
        <vt:lpwstr/>
      </vt:variant>
      <vt:variant>
        <vt:lpwstr>_Toc415658518</vt:lpwstr>
      </vt:variant>
      <vt:variant>
        <vt:i4>1638449</vt:i4>
      </vt:variant>
      <vt:variant>
        <vt:i4>92</vt:i4>
      </vt:variant>
      <vt:variant>
        <vt:i4>0</vt:i4>
      </vt:variant>
      <vt:variant>
        <vt:i4>5</vt:i4>
      </vt:variant>
      <vt:variant>
        <vt:lpwstr/>
      </vt:variant>
      <vt:variant>
        <vt:lpwstr>_Toc415658517</vt:lpwstr>
      </vt:variant>
      <vt:variant>
        <vt:i4>1638449</vt:i4>
      </vt:variant>
      <vt:variant>
        <vt:i4>86</vt:i4>
      </vt:variant>
      <vt:variant>
        <vt:i4>0</vt:i4>
      </vt:variant>
      <vt:variant>
        <vt:i4>5</vt:i4>
      </vt:variant>
      <vt:variant>
        <vt:lpwstr/>
      </vt:variant>
      <vt:variant>
        <vt:lpwstr>_Toc415658516</vt:lpwstr>
      </vt:variant>
      <vt:variant>
        <vt:i4>1638449</vt:i4>
      </vt:variant>
      <vt:variant>
        <vt:i4>80</vt:i4>
      </vt:variant>
      <vt:variant>
        <vt:i4>0</vt:i4>
      </vt:variant>
      <vt:variant>
        <vt:i4>5</vt:i4>
      </vt:variant>
      <vt:variant>
        <vt:lpwstr/>
      </vt:variant>
      <vt:variant>
        <vt:lpwstr>_Toc415658515</vt:lpwstr>
      </vt:variant>
      <vt:variant>
        <vt:i4>1638449</vt:i4>
      </vt:variant>
      <vt:variant>
        <vt:i4>74</vt:i4>
      </vt:variant>
      <vt:variant>
        <vt:i4>0</vt:i4>
      </vt:variant>
      <vt:variant>
        <vt:i4>5</vt:i4>
      </vt:variant>
      <vt:variant>
        <vt:lpwstr/>
      </vt:variant>
      <vt:variant>
        <vt:lpwstr>_Toc415658514</vt:lpwstr>
      </vt:variant>
      <vt:variant>
        <vt:i4>1638449</vt:i4>
      </vt:variant>
      <vt:variant>
        <vt:i4>68</vt:i4>
      </vt:variant>
      <vt:variant>
        <vt:i4>0</vt:i4>
      </vt:variant>
      <vt:variant>
        <vt:i4>5</vt:i4>
      </vt:variant>
      <vt:variant>
        <vt:lpwstr/>
      </vt:variant>
      <vt:variant>
        <vt:lpwstr>_Toc415658513</vt:lpwstr>
      </vt:variant>
      <vt:variant>
        <vt:i4>1638449</vt:i4>
      </vt:variant>
      <vt:variant>
        <vt:i4>62</vt:i4>
      </vt:variant>
      <vt:variant>
        <vt:i4>0</vt:i4>
      </vt:variant>
      <vt:variant>
        <vt:i4>5</vt:i4>
      </vt:variant>
      <vt:variant>
        <vt:lpwstr/>
      </vt:variant>
      <vt:variant>
        <vt:lpwstr>_Toc415658512</vt:lpwstr>
      </vt:variant>
      <vt:variant>
        <vt:i4>1638449</vt:i4>
      </vt:variant>
      <vt:variant>
        <vt:i4>56</vt:i4>
      </vt:variant>
      <vt:variant>
        <vt:i4>0</vt:i4>
      </vt:variant>
      <vt:variant>
        <vt:i4>5</vt:i4>
      </vt:variant>
      <vt:variant>
        <vt:lpwstr/>
      </vt:variant>
      <vt:variant>
        <vt:lpwstr>_Toc415658511</vt:lpwstr>
      </vt:variant>
      <vt:variant>
        <vt:i4>1638449</vt:i4>
      </vt:variant>
      <vt:variant>
        <vt:i4>50</vt:i4>
      </vt:variant>
      <vt:variant>
        <vt:i4>0</vt:i4>
      </vt:variant>
      <vt:variant>
        <vt:i4>5</vt:i4>
      </vt:variant>
      <vt:variant>
        <vt:lpwstr/>
      </vt:variant>
      <vt:variant>
        <vt:lpwstr>_Toc415658510</vt:lpwstr>
      </vt:variant>
      <vt:variant>
        <vt:i4>1572913</vt:i4>
      </vt:variant>
      <vt:variant>
        <vt:i4>44</vt:i4>
      </vt:variant>
      <vt:variant>
        <vt:i4>0</vt:i4>
      </vt:variant>
      <vt:variant>
        <vt:i4>5</vt:i4>
      </vt:variant>
      <vt:variant>
        <vt:lpwstr/>
      </vt:variant>
      <vt:variant>
        <vt:lpwstr>_Toc415658509</vt:lpwstr>
      </vt:variant>
      <vt:variant>
        <vt:i4>1572913</vt:i4>
      </vt:variant>
      <vt:variant>
        <vt:i4>38</vt:i4>
      </vt:variant>
      <vt:variant>
        <vt:i4>0</vt:i4>
      </vt:variant>
      <vt:variant>
        <vt:i4>5</vt:i4>
      </vt:variant>
      <vt:variant>
        <vt:lpwstr/>
      </vt:variant>
      <vt:variant>
        <vt:lpwstr>_Toc415658508</vt:lpwstr>
      </vt:variant>
      <vt:variant>
        <vt:i4>1572913</vt:i4>
      </vt:variant>
      <vt:variant>
        <vt:i4>32</vt:i4>
      </vt:variant>
      <vt:variant>
        <vt:i4>0</vt:i4>
      </vt:variant>
      <vt:variant>
        <vt:i4>5</vt:i4>
      </vt:variant>
      <vt:variant>
        <vt:lpwstr/>
      </vt:variant>
      <vt:variant>
        <vt:lpwstr>_Toc415658507</vt:lpwstr>
      </vt:variant>
      <vt:variant>
        <vt:i4>1572913</vt:i4>
      </vt:variant>
      <vt:variant>
        <vt:i4>26</vt:i4>
      </vt:variant>
      <vt:variant>
        <vt:i4>0</vt:i4>
      </vt:variant>
      <vt:variant>
        <vt:i4>5</vt:i4>
      </vt:variant>
      <vt:variant>
        <vt:lpwstr/>
      </vt:variant>
      <vt:variant>
        <vt:lpwstr>_Toc415658506</vt:lpwstr>
      </vt:variant>
      <vt:variant>
        <vt:i4>1572913</vt:i4>
      </vt:variant>
      <vt:variant>
        <vt:i4>20</vt:i4>
      </vt:variant>
      <vt:variant>
        <vt:i4>0</vt:i4>
      </vt:variant>
      <vt:variant>
        <vt:i4>5</vt:i4>
      </vt:variant>
      <vt:variant>
        <vt:lpwstr/>
      </vt:variant>
      <vt:variant>
        <vt:lpwstr>_Toc415658505</vt:lpwstr>
      </vt:variant>
      <vt:variant>
        <vt:i4>1572913</vt:i4>
      </vt:variant>
      <vt:variant>
        <vt:i4>14</vt:i4>
      </vt:variant>
      <vt:variant>
        <vt:i4>0</vt:i4>
      </vt:variant>
      <vt:variant>
        <vt:i4>5</vt:i4>
      </vt:variant>
      <vt:variant>
        <vt:lpwstr/>
      </vt:variant>
      <vt:variant>
        <vt:lpwstr>_Toc415658504</vt:lpwstr>
      </vt:variant>
      <vt:variant>
        <vt:i4>1572913</vt:i4>
      </vt:variant>
      <vt:variant>
        <vt:i4>8</vt:i4>
      </vt:variant>
      <vt:variant>
        <vt:i4>0</vt:i4>
      </vt:variant>
      <vt:variant>
        <vt:i4>5</vt:i4>
      </vt:variant>
      <vt:variant>
        <vt:lpwstr/>
      </vt:variant>
      <vt:variant>
        <vt:lpwstr>_Toc415658503</vt:lpwstr>
      </vt:variant>
      <vt:variant>
        <vt:i4>1572913</vt:i4>
      </vt:variant>
      <vt:variant>
        <vt:i4>2</vt:i4>
      </vt:variant>
      <vt:variant>
        <vt:i4>0</vt:i4>
      </vt:variant>
      <vt:variant>
        <vt:i4>5</vt:i4>
      </vt:variant>
      <vt:variant>
        <vt:lpwstr/>
      </vt:variant>
      <vt:variant>
        <vt:lpwstr>_Toc415658502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Appointed Representative Agreement</dc:title>
  <dc:creator>Consumer Credit Compliance</dc:creator>
  <cp:lastModifiedBy>Ryan Gibbons</cp:lastModifiedBy>
  <cp:revision>3</cp:revision>
  <cp:lastPrinted>2017-04-05T15:01:00Z</cp:lastPrinted>
  <dcterms:created xsi:type="dcterms:W3CDTF">2023-04-06T14:41:00Z</dcterms:created>
  <dcterms:modified xsi:type="dcterms:W3CDTF">2023-04-06T14:42:00Z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0x0101009561D28AFC45CD4F8086503BD8F5E16F</vt:lpwstr>
  </property>
</Properties>
</file>